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95CA64">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eastAsia="宋体"/>
          <w:b/>
          <w:bCs/>
          <w:sz w:val="44"/>
          <w:szCs w:val="44"/>
          <w:lang w:eastAsia="zh-CN"/>
        </w:rPr>
      </w:pPr>
      <w:r>
        <w:rPr>
          <w:rFonts w:hint="eastAsia"/>
          <w:b/>
          <w:bCs/>
          <w:sz w:val="44"/>
          <w:szCs w:val="44"/>
          <w:lang w:eastAsia="zh-CN"/>
        </w:rPr>
        <w:t>许昌市</w:t>
      </w:r>
      <w:r>
        <w:rPr>
          <w:rFonts w:hint="eastAsia"/>
          <w:b/>
          <w:bCs/>
          <w:sz w:val="44"/>
          <w:szCs w:val="44"/>
          <w:lang w:val="en-US" w:eastAsia="zh-CN"/>
        </w:rPr>
        <w:t>市</w:t>
      </w:r>
      <w:r>
        <w:rPr>
          <w:rFonts w:hint="eastAsia"/>
          <w:b/>
          <w:bCs/>
          <w:sz w:val="44"/>
          <w:szCs w:val="44"/>
          <w:lang w:eastAsia="zh-CN"/>
        </w:rPr>
        <w:t>投</w:t>
      </w:r>
      <w:r>
        <w:rPr>
          <w:rFonts w:hint="eastAsia"/>
          <w:b/>
          <w:bCs/>
          <w:sz w:val="44"/>
          <w:szCs w:val="44"/>
          <w:lang w:val="en-US" w:eastAsia="zh-CN"/>
        </w:rPr>
        <w:t>物业管理</w:t>
      </w:r>
      <w:r>
        <w:rPr>
          <w:rFonts w:hint="eastAsia"/>
          <w:b/>
          <w:bCs/>
          <w:sz w:val="44"/>
          <w:szCs w:val="44"/>
          <w:lang w:eastAsia="zh-CN"/>
        </w:rPr>
        <w:t>有限公司</w:t>
      </w:r>
    </w:p>
    <w:p w14:paraId="6EF8D5CF">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b/>
          <w:bCs/>
          <w:sz w:val="44"/>
          <w:szCs w:val="44"/>
        </w:rPr>
      </w:pPr>
      <w:r>
        <w:rPr>
          <w:rFonts w:hint="eastAsia"/>
          <w:b/>
          <w:bCs/>
          <w:sz w:val="44"/>
          <w:szCs w:val="44"/>
          <w:lang w:val="en-US" w:eastAsia="zh-CN"/>
        </w:rPr>
        <w:t>“许昌市科技广场电梯维保项目”</w:t>
      </w:r>
      <w:r>
        <w:rPr>
          <w:rFonts w:hint="eastAsia"/>
          <w:b/>
          <w:bCs/>
          <w:sz w:val="44"/>
          <w:szCs w:val="44"/>
        </w:rPr>
        <w:t>询价文件</w:t>
      </w:r>
    </w:p>
    <w:p w14:paraId="329370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许昌市市投物业管理有限公司</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许昌市科技广场电梯维保项目</w:t>
      </w:r>
      <w:r>
        <w:rPr>
          <w:rFonts w:hint="eastAsia" w:ascii="仿宋_GB2312" w:hAnsi="仿宋_GB2312" w:eastAsia="仿宋_GB2312" w:cs="仿宋_GB2312"/>
          <w:sz w:val="32"/>
          <w:szCs w:val="32"/>
        </w:rPr>
        <w:t>”的潜在投标人应在《许昌市投资集团有限公司》网站公示公告栏获取询价文件，并于</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15</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16</w:t>
      </w:r>
      <w:r>
        <w:rPr>
          <w:rFonts w:hint="eastAsia" w:ascii="仿宋_GB2312" w:hAnsi="仿宋_GB2312" w:eastAsia="仿宋_GB2312" w:cs="仿宋_GB2312"/>
          <w:sz w:val="32"/>
          <w:szCs w:val="32"/>
          <w:highlight w:val="none"/>
        </w:rPr>
        <w:t>点</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分</w:t>
      </w:r>
      <w:r>
        <w:rPr>
          <w:rFonts w:hint="eastAsia" w:ascii="仿宋_GB2312" w:hAnsi="仿宋_GB2312" w:eastAsia="仿宋_GB2312" w:cs="仿宋_GB2312"/>
          <w:sz w:val="32"/>
          <w:szCs w:val="32"/>
        </w:rPr>
        <w:t>(北京时间)前提交响应文件。</w:t>
      </w:r>
    </w:p>
    <w:p w14:paraId="381F42C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一、项目概况</w:t>
      </w:r>
    </w:p>
    <w:p w14:paraId="27EA49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val="en-US" w:eastAsia="zh-CN"/>
        </w:rPr>
        <w:t>许昌市科技广场电梯维保</w:t>
      </w:r>
    </w:p>
    <w:p w14:paraId="5127973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项目概况：</w:t>
      </w:r>
      <w:r>
        <w:rPr>
          <w:rFonts w:hint="eastAsia" w:ascii="仿宋_GB2312" w:hAnsi="仿宋_GB2312" w:eastAsia="仿宋_GB2312" w:cs="仿宋_GB2312"/>
          <w:sz w:val="32"/>
          <w:szCs w:val="32"/>
          <w:lang w:val="en-US" w:eastAsia="zh-CN"/>
        </w:rPr>
        <w:t>本项目位于许昌市科技广场，共15台电梯，包含1台货梯、6台客梯及8台扶梯</w:t>
      </w:r>
      <w:r>
        <w:rPr>
          <w:rFonts w:hint="eastAsia" w:ascii="仿宋_GB2312" w:hAnsi="仿宋_GB2312" w:eastAsia="仿宋_GB2312" w:cs="仿宋_GB2312"/>
          <w:sz w:val="32"/>
          <w:szCs w:val="32"/>
          <w:highlight w:val="none"/>
          <w:lang w:val="en-US" w:eastAsia="zh-CN"/>
        </w:rPr>
        <w:t>。</w:t>
      </w:r>
    </w:p>
    <w:p w14:paraId="6DCA31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（三）服务期限：1年</w:t>
      </w:r>
    </w:p>
    <w:p w14:paraId="54E28EA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服务要求：在提供日常维保的基础上，需在科技广场额外配置1名驻点人员，驻点时间为：夏令上午8：00-12：00，下午：15：00-18：00；冬令上午8：00-12：00，下午：14：30-17：30，周末及节假日期间驻点时间照此执行。</w:t>
      </w:r>
    </w:p>
    <w:p w14:paraId="7743DC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采购方式：询价。</w:t>
      </w:r>
    </w:p>
    <w:p w14:paraId="51A6E7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采购人：</w:t>
      </w:r>
      <w:r>
        <w:rPr>
          <w:rFonts w:hint="eastAsia" w:ascii="仿宋_GB2312" w:hAnsi="仿宋_GB2312" w:eastAsia="仿宋_GB2312" w:cs="仿宋_GB2312"/>
          <w:sz w:val="32"/>
          <w:szCs w:val="32"/>
          <w:lang w:eastAsia="zh-CN"/>
        </w:rPr>
        <w:t>许昌市市投</w:t>
      </w:r>
      <w:r>
        <w:rPr>
          <w:rFonts w:hint="eastAsia" w:ascii="仿宋_GB2312" w:hAnsi="仿宋_GB2312" w:eastAsia="仿宋_GB2312" w:cs="仿宋_GB2312"/>
          <w:sz w:val="32"/>
          <w:szCs w:val="32"/>
          <w:lang w:val="en-US" w:eastAsia="zh-CN"/>
        </w:rPr>
        <w:t>物业管理</w:t>
      </w:r>
      <w:r>
        <w:rPr>
          <w:rFonts w:hint="eastAsia" w:ascii="仿宋_GB2312" w:hAnsi="仿宋_GB2312" w:eastAsia="仿宋_GB2312" w:cs="仿宋_GB2312"/>
          <w:sz w:val="32"/>
          <w:szCs w:val="32"/>
          <w:lang w:eastAsia="zh-CN"/>
        </w:rPr>
        <w:t>有限公司</w:t>
      </w:r>
    </w:p>
    <w:p w14:paraId="4EBBDA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控制价：</w:t>
      </w:r>
      <w:r>
        <w:rPr>
          <w:rFonts w:hint="eastAsia" w:ascii="仿宋_GB2312" w:hAnsi="仿宋_GB2312" w:eastAsia="仿宋_GB2312" w:cs="仿宋_GB2312"/>
          <w:sz w:val="32"/>
          <w:szCs w:val="32"/>
          <w:lang w:val="en-US" w:eastAsia="zh-CN"/>
        </w:rPr>
        <w:t>59800</w:t>
      </w:r>
      <w:r>
        <w:rPr>
          <w:rFonts w:hint="eastAsia" w:ascii="仿宋_GB2312" w:hAnsi="仿宋_GB2312" w:eastAsia="仿宋_GB2312" w:cs="仿宋_GB2312"/>
          <w:sz w:val="32"/>
          <w:szCs w:val="32"/>
        </w:rPr>
        <w:t>元(含税价)，超出此报价的为无效投标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此报价包含</w:t>
      </w:r>
      <w:r>
        <w:rPr>
          <w:rFonts w:hint="eastAsia" w:ascii="仿宋_GB2312" w:hAnsi="仿宋_GB2312" w:eastAsia="仿宋_GB2312" w:cs="仿宋_GB2312"/>
          <w:sz w:val="32"/>
          <w:szCs w:val="32"/>
          <w:highlight w:val="none"/>
          <w:lang w:val="en-US" w:eastAsia="zh-CN"/>
        </w:rPr>
        <w:t>投标人</w:t>
      </w:r>
      <w:r>
        <w:rPr>
          <w:rFonts w:hint="eastAsia" w:ascii="仿宋_GB2312" w:hAnsi="仿宋_GB2312" w:eastAsia="仿宋_GB2312" w:cs="仿宋_GB2312"/>
          <w:sz w:val="32"/>
          <w:szCs w:val="32"/>
          <w:lang w:val="en-US" w:eastAsia="zh-CN"/>
        </w:rPr>
        <w:t>提供服务的人员费用及交通费用，包含</w:t>
      </w:r>
      <w:r>
        <w:rPr>
          <w:rFonts w:hint="eastAsia" w:ascii="仿宋_GB2312" w:hAnsi="仿宋_GB2312" w:eastAsia="仿宋_GB2312" w:cs="仿宋_GB2312"/>
          <w:sz w:val="32"/>
          <w:szCs w:val="32"/>
          <w:highlight w:val="none"/>
          <w:lang w:val="en-US" w:eastAsia="zh-CN"/>
        </w:rPr>
        <w:t>单价1000元以下的电梯配件费（人为损坏不在此范围），电梯限速校验费，电梯“125%载荷制动试验”费，电梯年检费用，服务</w:t>
      </w:r>
      <w:r>
        <w:rPr>
          <w:rFonts w:hint="eastAsia" w:ascii="仿宋_GB2312" w:hAnsi="仿宋_GB2312" w:eastAsia="仿宋_GB2312" w:cs="仿宋_GB2312"/>
          <w:sz w:val="32"/>
          <w:szCs w:val="32"/>
          <w:lang w:val="en-US" w:eastAsia="zh-CN"/>
        </w:rPr>
        <w:t>使用的计量器具及工具费用，因投标人维保原因产生的安全风险费</w:t>
      </w:r>
      <w:r>
        <w:rPr>
          <w:rFonts w:hint="eastAsia" w:ascii="仿宋_GB2312" w:hAnsi="仿宋_GB2312" w:eastAsia="仿宋_GB2312" w:cs="仿宋_GB2312"/>
          <w:sz w:val="32"/>
          <w:szCs w:val="32"/>
        </w:rPr>
        <w:t>。</w:t>
      </w:r>
    </w:p>
    <w:p w14:paraId="6F6B1C9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投标</w:t>
      </w:r>
      <w:r>
        <w:rPr>
          <w:rFonts w:hint="eastAsia" w:ascii="仿宋_GB2312" w:hAnsi="仿宋_GB2312" w:eastAsia="仿宋_GB2312" w:cs="仿宋_GB2312"/>
          <w:b/>
          <w:bCs/>
          <w:sz w:val="32"/>
          <w:szCs w:val="32"/>
        </w:rPr>
        <w:t>人资格要求</w:t>
      </w:r>
    </w:p>
    <w:p w14:paraId="047A42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具备《中华人民共和国政府采购法》第二十二条规定的条件。</w:t>
      </w:r>
    </w:p>
    <w:p w14:paraId="206E9C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14:paraId="14EAF2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投标人必须具有独立的法人资格，并持有有效的营业执照。</w:t>
      </w:r>
    </w:p>
    <w:p w14:paraId="58A009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投标人必须持有中华人民共和国特种设备生产许可证，许可项目为电梯安装（含修理）。</w:t>
      </w:r>
    </w:p>
    <w:p w14:paraId="65B2C5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本次招标不接受联合体投标。</w:t>
      </w:r>
    </w:p>
    <w:p w14:paraId="4AA4E7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本项目资格审查贯穿招标全过程。</w:t>
      </w:r>
    </w:p>
    <w:p w14:paraId="0055BE0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三、开标</w:t>
      </w:r>
      <w:r>
        <w:rPr>
          <w:rFonts w:hint="eastAsia" w:ascii="仿宋_GB2312" w:hAnsi="仿宋_GB2312" w:eastAsia="仿宋_GB2312" w:cs="仿宋_GB2312"/>
          <w:b/>
          <w:bCs/>
          <w:sz w:val="32"/>
          <w:szCs w:val="32"/>
          <w:lang w:val="en-US" w:eastAsia="zh-CN"/>
        </w:rPr>
        <w:t>有关要求</w:t>
      </w:r>
    </w:p>
    <w:p w14:paraId="2E1696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时间：</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15</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17</w:t>
      </w:r>
      <w:r>
        <w:rPr>
          <w:rFonts w:hint="eastAsia" w:ascii="仿宋_GB2312" w:hAnsi="仿宋_GB2312" w:eastAsia="仿宋_GB2312" w:cs="仿宋_GB2312"/>
          <w:sz w:val="32"/>
          <w:szCs w:val="32"/>
          <w:highlight w:val="none"/>
        </w:rPr>
        <w:t>点</w:t>
      </w:r>
      <w:r>
        <w:rPr>
          <w:rFonts w:hint="eastAsia" w:ascii="仿宋_GB2312" w:hAnsi="仿宋_GB2312" w:eastAsia="仿宋_GB2312" w:cs="仿宋_GB2312"/>
          <w:sz w:val="32"/>
          <w:szCs w:val="32"/>
          <w:highlight w:val="none"/>
          <w:lang w:val="en-US" w:eastAsia="zh-CN"/>
        </w:rPr>
        <w:t>00</w:t>
      </w:r>
      <w:r>
        <w:rPr>
          <w:rFonts w:hint="eastAsia" w:ascii="仿宋_GB2312" w:hAnsi="仿宋_GB2312" w:eastAsia="仿宋_GB2312" w:cs="仿宋_GB2312"/>
          <w:sz w:val="32"/>
          <w:szCs w:val="32"/>
          <w:highlight w:val="none"/>
        </w:rPr>
        <w:t>分</w:t>
      </w:r>
      <w:r>
        <w:rPr>
          <w:rFonts w:hint="eastAsia" w:ascii="仿宋_GB2312" w:hAnsi="仿宋_GB2312" w:eastAsia="仿宋_GB2312" w:cs="仿宋_GB2312"/>
          <w:sz w:val="32"/>
          <w:szCs w:val="32"/>
        </w:rPr>
        <w:t>(北京时间)。</w:t>
      </w:r>
    </w:p>
    <w:p w14:paraId="456DBC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地点：许昌市</w:t>
      </w:r>
      <w:r>
        <w:rPr>
          <w:rFonts w:hint="eastAsia" w:ascii="仿宋_GB2312" w:hAnsi="仿宋_GB2312" w:eastAsia="仿宋_GB2312" w:cs="仿宋_GB2312"/>
          <w:sz w:val="32"/>
          <w:szCs w:val="32"/>
          <w:lang w:val="en-US" w:eastAsia="zh-CN"/>
        </w:rPr>
        <w:t>老年大学16楼会议室</w:t>
      </w:r>
      <w:r>
        <w:rPr>
          <w:rFonts w:hint="eastAsia" w:ascii="仿宋_GB2312" w:hAnsi="仿宋_GB2312" w:eastAsia="仿宋_GB2312" w:cs="仿宋_GB2312"/>
          <w:sz w:val="32"/>
          <w:szCs w:val="32"/>
        </w:rPr>
        <w:t>(本项目采用不见面开标，投标人无须到现场)。</w:t>
      </w:r>
    </w:p>
    <w:p w14:paraId="490FDB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本次评标</w:t>
      </w:r>
      <w:r>
        <w:rPr>
          <w:rFonts w:hint="eastAsia" w:ascii="仿宋_GB2312" w:hAnsi="仿宋_GB2312" w:eastAsia="仿宋_GB2312" w:cs="仿宋_GB2312"/>
          <w:sz w:val="32"/>
          <w:szCs w:val="32"/>
          <w:lang w:val="en-US" w:eastAsia="zh-CN"/>
        </w:rPr>
        <w:t>方法为</w:t>
      </w:r>
      <w:r>
        <w:rPr>
          <w:rFonts w:hint="eastAsia" w:ascii="仿宋_GB2312" w:hAnsi="仿宋_GB2312" w:eastAsia="仿宋_GB2312" w:cs="仿宋_GB2312"/>
          <w:sz w:val="32"/>
          <w:szCs w:val="32"/>
        </w:rPr>
        <w:t>“低价中标”</w:t>
      </w:r>
      <w:r>
        <w:rPr>
          <w:rFonts w:hint="eastAsia" w:ascii="仿宋_GB2312" w:hAnsi="仿宋_GB2312" w:eastAsia="仿宋_GB2312" w:cs="仿宋_GB2312"/>
          <w:sz w:val="32"/>
          <w:szCs w:val="32"/>
          <w:lang w:eastAsia="zh-CN"/>
        </w:rPr>
        <w:t>，若出现2家或2家以上相同最低报价，</w:t>
      </w:r>
      <w:r>
        <w:rPr>
          <w:rFonts w:hint="eastAsia" w:ascii="仿宋_GB2312" w:hAnsi="仿宋_GB2312" w:eastAsia="仿宋_GB2312" w:cs="仿宋_GB2312"/>
          <w:sz w:val="32"/>
          <w:szCs w:val="32"/>
          <w:lang w:val="en-US" w:eastAsia="zh-CN"/>
        </w:rPr>
        <w:t>需进行二次报价</w:t>
      </w:r>
      <w:r>
        <w:rPr>
          <w:rFonts w:hint="eastAsia" w:ascii="仿宋_GB2312" w:hAnsi="仿宋_GB2312" w:eastAsia="仿宋_GB2312" w:cs="仿宋_GB2312"/>
          <w:sz w:val="32"/>
          <w:szCs w:val="32"/>
        </w:rPr>
        <w:t>。</w:t>
      </w:r>
    </w:p>
    <w:p w14:paraId="448EF3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评标期间，投标人保持响应文件提供的联系方式畅通，评标小组随时可能对响应文件内容质询，投标人应及时进行答复(包括但不限于电子文档、电子邮件等)。</w:t>
      </w:r>
    </w:p>
    <w:p w14:paraId="2E5B455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四、响应文件组成</w:t>
      </w:r>
    </w:p>
    <w:p w14:paraId="0FCA8C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详见附件，响应文件要装订并密封，密封处加盖公司公章，一式3份。不按照附件要求提交资料或者缺少的，为无效投标，投标人提供的响应文件等相关资料概不退还。</w:t>
      </w:r>
    </w:p>
    <w:p w14:paraId="3FF6A3CF">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五、其他事宜</w:t>
      </w:r>
    </w:p>
    <w:p w14:paraId="73A541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询价公告发布方式：本次询价公告在许昌市投资集团有限公司网站(http://www.xcstzzgs.cn/)发布，公告期限为3个工作日。</w:t>
      </w:r>
    </w:p>
    <w:p w14:paraId="3BEC06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询价文件获取：询价文件请到许昌市投资集团有限公司网站(http://www.xcstzzgs.cn/)下载。</w:t>
      </w:r>
    </w:p>
    <w:p w14:paraId="7DF7BA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资料提交方式及截止日期：现场递交或邮寄均可，截止时间：</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15</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color w:val="auto"/>
          <w:sz w:val="32"/>
          <w:szCs w:val="32"/>
          <w:highlight w:val="none"/>
          <w:lang w:val="en-US" w:eastAsia="zh-CN"/>
        </w:rPr>
        <w:t>16点30</w:t>
      </w:r>
      <w:bookmarkStart w:id="0" w:name="_GoBack"/>
      <w:bookmarkEnd w:id="0"/>
      <w:r>
        <w:rPr>
          <w:rFonts w:hint="eastAsia" w:ascii="仿宋_GB2312" w:hAnsi="仿宋_GB2312" w:eastAsia="仿宋_GB2312" w:cs="仿宋_GB2312"/>
          <w:color w:val="auto"/>
          <w:sz w:val="32"/>
          <w:szCs w:val="32"/>
          <w:highlight w:val="none"/>
          <w:lang w:val="en-US" w:eastAsia="zh-CN"/>
        </w:rPr>
        <w:t>分</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邮寄</w:t>
      </w:r>
      <w:r>
        <w:rPr>
          <w:rFonts w:hint="eastAsia" w:ascii="仿宋_GB2312" w:hAnsi="仿宋_GB2312" w:eastAsia="仿宋_GB2312" w:cs="仿宋_GB2312"/>
          <w:sz w:val="32"/>
          <w:szCs w:val="32"/>
          <w:lang w:val="en-US" w:eastAsia="zh-CN"/>
        </w:rPr>
        <w:t>以</w:t>
      </w:r>
      <w:r>
        <w:rPr>
          <w:rFonts w:hint="eastAsia" w:ascii="仿宋_GB2312" w:hAnsi="仿宋_GB2312" w:eastAsia="仿宋_GB2312" w:cs="仿宋_GB2312"/>
          <w:sz w:val="32"/>
          <w:szCs w:val="32"/>
        </w:rPr>
        <w:t>收到时间为准。超出此时间提交的响应文件视为废标。</w:t>
      </w:r>
    </w:p>
    <w:p w14:paraId="44423E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资料提交或邮寄地点：许昌市</w:t>
      </w:r>
      <w:r>
        <w:rPr>
          <w:rFonts w:hint="eastAsia" w:ascii="仿宋_GB2312" w:hAnsi="仿宋_GB2312" w:eastAsia="仿宋_GB2312" w:cs="仿宋_GB2312"/>
          <w:sz w:val="32"/>
          <w:szCs w:val="32"/>
          <w:lang w:val="en-US" w:eastAsia="zh-CN"/>
        </w:rPr>
        <w:t>均都路与莲城大道交叉口</w:t>
      </w:r>
      <w:r>
        <w:rPr>
          <w:rFonts w:hint="eastAsia" w:ascii="仿宋_GB2312" w:hAnsi="仿宋_GB2312" w:eastAsia="仿宋_GB2312" w:cs="仿宋_GB2312"/>
          <w:sz w:val="32"/>
          <w:szCs w:val="32"/>
        </w:rPr>
        <w:t>许昌市</w:t>
      </w:r>
      <w:r>
        <w:rPr>
          <w:rFonts w:hint="eastAsia" w:ascii="仿宋_GB2312" w:hAnsi="仿宋_GB2312" w:eastAsia="仿宋_GB2312" w:cs="仿宋_GB2312"/>
          <w:sz w:val="32"/>
          <w:szCs w:val="32"/>
          <w:lang w:val="en-US" w:eastAsia="zh-CN"/>
        </w:rPr>
        <w:t>老年大学1612</w:t>
      </w:r>
      <w:r>
        <w:rPr>
          <w:rFonts w:hint="eastAsia" w:ascii="仿宋_GB2312" w:hAnsi="仿宋_GB2312" w:eastAsia="仿宋_GB2312" w:cs="仿宋_GB2312"/>
          <w:sz w:val="32"/>
          <w:szCs w:val="32"/>
        </w:rPr>
        <w:t>室。</w:t>
      </w:r>
    </w:p>
    <w:p w14:paraId="1D4945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采购人不组织踏勘现场，投标人可自行组织。</w:t>
      </w:r>
    </w:p>
    <w:p w14:paraId="5C19E6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联系方式：</w:t>
      </w:r>
      <w:r>
        <w:rPr>
          <w:rFonts w:hint="eastAsia" w:ascii="仿宋_GB2312" w:hAnsi="仿宋_GB2312" w:eastAsia="仿宋_GB2312" w:cs="仿宋_GB2312"/>
          <w:sz w:val="32"/>
          <w:szCs w:val="32"/>
          <w:lang w:val="en-US" w:eastAsia="zh-CN"/>
        </w:rPr>
        <w:t>崔</w:t>
      </w:r>
      <w:r>
        <w:rPr>
          <w:rFonts w:hint="eastAsia" w:ascii="仿宋_GB2312" w:hAnsi="仿宋_GB2312" w:eastAsia="仿宋_GB2312" w:cs="仿宋_GB2312"/>
          <w:sz w:val="32"/>
          <w:szCs w:val="32"/>
        </w:rPr>
        <w:t>先生 0374-</w:t>
      </w:r>
      <w:r>
        <w:rPr>
          <w:rFonts w:hint="eastAsia" w:ascii="仿宋_GB2312" w:hAnsi="仿宋_GB2312" w:eastAsia="仿宋_GB2312" w:cs="仿宋_GB2312"/>
          <w:color w:val="auto"/>
          <w:sz w:val="32"/>
          <w:szCs w:val="32"/>
          <w:highlight w:val="none"/>
        </w:rPr>
        <w:t>2677251</w:t>
      </w:r>
      <w:r>
        <w:rPr>
          <w:rFonts w:hint="eastAsia" w:ascii="仿宋_GB2312" w:hAnsi="仿宋_GB2312" w:eastAsia="仿宋_GB2312" w:cs="仿宋_GB2312"/>
          <w:sz w:val="32"/>
          <w:szCs w:val="32"/>
        </w:rPr>
        <w:t>。</w:t>
      </w:r>
    </w:p>
    <w:p w14:paraId="06376531">
      <w:pPr>
        <w:ind w:firstLine="3840" w:firstLineChars="1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lang w:eastAsia="zh-CN"/>
        </w:rPr>
        <w:t>许昌市市投物业管理有限公司</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p>
    <w:p w14:paraId="0F949710">
      <w:pPr>
        <w:ind w:firstLine="5120" w:firstLineChars="1600"/>
        <w:rPr>
          <w:rFonts w:hint="eastAsia"/>
          <w:sz w:val="28"/>
          <w:szCs w:val="28"/>
        </w:rPr>
      </w:pPr>
      <w:r>
        <w:rPr>
          <w:rFonts w:hint="eastAsia" w:ascii="仿宋_GB2312" w:hAnsi="仿宋_GB2312" w:eastAsia="仿宋_GB2312" w:cs="仿宋_GB2312"/>
          <w:sz w:val="32"/>
          <w:szCs w:val="32"/>
        </w:rPr>
        <w:t>2024年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w:t>
      </w:r>
    </w:p>
    <w:p w14:paraId="67690DD2">
      <w:pPr>
        <w:autoSpaceDE w:val="0"/>
        <w:autoSpaceDN w:val="0"/>
        <w:adjustRightInd w:val="0"/>
        <w:spacing w:line="700" w:lineRule="exact"/>
        <w:jc w:val="left"/>
        <w:rPr>
          <w:rFonts w:cs="宋体" w:asciiTheme="majorEastAsia" w:hAnsiTheme="majorEastAsia" w:eastAsiaTheme="majorEastAsia"/>
          <w:b/>
          <w:kern w:val="0"/>
          <w:sz w:val="28"/>
          <w:szCs w:val="28"/>
        </w:rPr>
      </w:pPr>
      <w:r>
        <w:rPr>
          <w:rFonts w:hint="eastAsia"/>
          <w:sz w:val="28"/>
          <w:szCs w:val="28"/>
        </w:rPr>
        <w:t>附件：响应文件格式</w:t>
      </w:r>
    </w:p>
    <w:p w14:paraId="0BA869B9">
      <w:pPr>
        <w:autoSpaceDE w:val="0"/>
        <w:autoSpaceDN w:val="0"/>
        <w:adjustRightInd w:val="0"/>
        <w:spacing w:line="700" w:lineRule="exact"/>
        <w:rPr>
          <w:rFonts w:cs="宋体" w:asciiTheme="majorEastAsia" w:hAnsiTheme="majorEastAsia" w:eastAsiaTheme="majorEastAsia"/>
          <w:b/>
          <w:kern w:val="0"/>
          <w:sz w:val="36"/>
          <w:szCs w:val="36"/>
        </w:rPr>
      </w:pPr>
    </w:p>
    <w:p w14:paraId="6C13C687">
      <w:pPr>
        <w:jc w:val="left"/>
        <w:rPr>
          <w:rStyle w:val="30"/>
          <w:rFonts w:ascii="宋体" w:hAnsi="宋体"/>
        </w:rPr>
      </w:pPr>
    </w:p>
    <w:p w14:paraId="0B743B0D">
      <w:pPr>
        <w:rPr>
          <w:rFonts w:ascii="宋体" w:hAnsi="宋体" w:cs="微软雅黑"/>
          <w:sz w:val="28"/>
          <w:szCs w:val="28"/>
          <w:u w:val="single"/>
        </w:rPr>
      </w:pPr>
    </w:p>
    <w:p w14:paraId="097DA9B2">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44928DBF">
      <w:pPr>
        <w:jc w:val="center"/>
        <w:rPr>
          <w:rFonts w:ascii="宋体" w:hAnsi="宋体" w:cs="微软雅黑"/>
          <w:sz w:val="28"/>
          <w:szCs w:val="28"/>
          <w:u w:val="single"/>
        </w:rPr>
      </w:pPr>
    </w:p>
    <w:p w14:paraId="66E0B9FE">
      <w:pPr>
        <w:rPr>
          <w:rFonts w:ascii="宋体" w:hAnsi="宋体" w:cs="微软雅黑"/>
          <w:sz w:val="20"/>
          <w:szCs w:val="20"/>
        </w:rPr>
      </w:pPr>
    </w:p>
    <w:p w14:paraId="686ECF3C">
      <w:pPr>
        <w:rPr>
          <w:rFonts w:ascii="宋体" w:hAnsi="宋体" w:cs="微软雅黑"/>
          <w:sz w:val="20"/>
          <w:szCs w:val="20"/>
        </w:rPr>
      </w:pPr>
    </w:p>
    <w:p w14:paraId="4B4B94A7">
      <w:pPr>
        <w:jc w:val="center"/>
        <w:rPr>
          <w:rFonts w:ascii="宋体" w:hAnsi="宋体" w:cs="微软雅黑"/>
          <w:sz w:val="72"/>
          <w:szCs w:val="72"/>
        </w:rPr>
      </w:pPr>
      <w:r>
        <w:rPr>
          <w:rFonts w:hint="eastAsia" w:ascii="宋体" w:hAnsi="宋体" w:cs="微软雅黑"/>
          <w:sz w:val="72"/>
          <w:szCs w:val="72"/>
        </w:rPr>
        <w:t>响应文件</w:t>
      </w:r>
    </w:p>
    <w:p w14:paraId="29672D4B">
      <w:pPr>
        <w:rPr>
          <w:rFonts w:ascii="宋体" w:hAnsi="宋体" w:cs="微软雅黑"/>
          <w:sz w:val="28"/>
          <w:szCs w:val="28"/>
        </w:rPr>
      </w:pPr>
    </w:p>
    <w:p w14:paraId="7C729D1E">
      <w:pPr>
        <w:rPr>
          <w:rFonts w:ascii="宋体" w:hAnsi="宋体" w:cs="微软雅黑"/>
          <w:sz w:val="28"/>
          <w:szCs w:val="28"/>
        </w:rPr>
      </w:pPr>
    </w:p>
    <w:p w14:paraId="42A0B836">
      <w:pPr>
        <w:rPr>
          <w:rFonts w:ascii="宋体" w:hAnsi="宋体" w:cs="微软雅黑"/>
          <w:sz w:val="28"/>
          <w:szCs w:val="28"/>
        </w:rPr>
      </w:pPr>
    </w:p>
    <w:p w14:paraId="6C403235">
      <w:pPr>
        <w:pStyle w:val="11"/>
        <w:ind w:firstLine="0"/>
        <w:rPr>
          <w:rFonts w:hAnsi="宋体" w:cs="微软雅黑"/>
          <w:szCs w:val="28"/>
        </w:rPr>
      </w:pPr>
    </w:p>
    <w:p w14:paraId="39B597A9">
      <w:pPr>
        <w:pStyle w:val="11"/>
        <w:ind w:firstLine="340"/>
        <w:rPr>
          <w:rFonts w:hAnsi="宋体" w:cs="微软雅黑"/>
          <w:szCs w:val="28"/>
        </w:rPr>
      </w:pPr>
    </w:p>
    <w:p w14:paraId="25B3CA35">
      <w:pPr>
        <w:pStyle w:val="12"/>
        <w:ind w:left="420" w:firstLine="420"/>
        <w:rPr>
          <w:rFonts w:hint="default" w:hAnsi="宋体" w:cs="微软雅黑"/>
          <w:szCs w:val="28"/>
          <w:lang w:eastAsia="zh-CN"/>
        </w:rPr>
      </w:pPr>
    </w:p>
    <w:p w14:paraId="247A923B">
      <w:pPr>
        <w:pStyle w:val="12"/>
        <w:ind w:left="420" w:firstLine="420"/>
        <w:rPr>
          <w:rFonts w:hint="default" w:hAnsi="宋体" w:cs="微软雅黑"/>
          <w:szCs w:val="28"/>
          <w:lang w:eastAsia="zh-CN"/>
        </w:rPr>
      </w:pPr>
    </w:p>
    <w:p w14:paraId="33151D2D">
      <w:pPr>
        <w:pStyle w:val="12"/>
        <w:ind w:left="420" w:firstLine="420"/>
        <w:rPr>
          <w:rFonts w:hint="default" w:hAnsi="宋体" w:cs="微软雅黑"/>
          <w:szCs w:val="28"/>
          <w:lang w:eastAsia="zh-CN"/>
        </w:rPr>
      </w:pPr>
    </w:p>
    <w:p w14:paraId="67C5C147">
      <w:pPr>
        <w:pStyle w:val="12"/>
        <w:ind w:left="420" w:firstLine="420"/>
        <w:rPr>
          <w:rFonts w:hint="default" w:hAnsi="宋体" w:cs="微软雅黑"/>
          <w:szCs w:val="28"/>
          <w:lang w:eastAsia="zh-CN"/>
        </w:rPr>
      </w:pPr>
    </w:p>
    <w:p w14:paraId="38B49283">
      <w:pPr>
        <w:jc w:val="left"/>
        <w:rPr>
          <w:rFonts w:ascii="宋体" w:hAnsi="宋体" w:cs="微软雅黑"/>
          <w:sz w:val="28"/>
          <w:szCs w:val="28"/>
          <w:u w:val="single"/>
        </w:rPr>
      </w:pPr>
      <w:r>
        <w:rPr>
          <w:rFonts w:hint="eastAsia" w:ascii="宋体" w:hAnsi="宋体" w:cs="微软雅黑"/>
          <w:sz w:val="28"/>
          <w:szCs w:val="28"/>
        </w:rPr>
        <w:t>响应人：（盖单位章）</w:t>
      </w:r>
    </w:p>
    <w:p w14:paraId="7F375C24">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4CBBF518">
      <w:pPr>
        <w:pStyle w:val="11"/>
        <w:ind w:firstLine="0"/>
      </w:pPr>
    </w:p>
    <w:p w14:paraId="3E0AC933"/>
    <w:p w14:paraId="7E12C24C">
      <w:pPr>
        <w:pStyle w:val="7"/>
        <w:spacing w:line="360" w:lineRule="auto"/>
        <w:ind w:firstLine="2811" w:firstLineChars="1000"/>
        <w:rPr>
          <w:rFonts w:asciiTheme="majorEastAsia" w:hAnsiTheme="majorEastAsia" w:eastAsiaTheme="majorEastAsia"/>
          <w:b/>
          <w:snapToGrid w:val="0"/>
          <w:kern w:val="0"/>
          <w:sz w:val="28"/>
          <w:szCs w:val="28"/>
        </w:rPr>
      </w:pPr>
    </w:p>
    <w:p w14:paraId="2E0E1D99">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35816B5B">
      <w:pPr>
        <w:spacing w:line="360" w:lineRule="auto"/>
        <w:ind w:firstLine="480" w:firstLineChars="200"/>
        <w:contextualSpacing/>
        <w:rPr>
          <w:rFonts w:asciiTheme="minorEastAsia" w:hAnsiTheme="minorEastAsia"/>
          <w:sz w:val="24"/>
        </w:rPr>
      </w:pPr>
      <w:r>
        <w:rPr>
          <w:rFonts w:hint="eastAsia" w:asciiTheme="minorEastAsia" w:hAnsiTheme="minorEastAsia"/>
          <w:sz w:val="24"/>
        </w:rPr>
        <w:t xml:space="preserve">                                           </w:t>
      </w:r>
      <w:r>
        <w:rPr>
          <w:rFonts w:hint="eastAsia" w:cs="Arial" w:asciiTheme="minorEastAsia" w:hAnsiTheme="minorEastAsia"/>
          <w:sz w:val="24"/>
        </w:rPr>
        <w:t>单位：元（人民币）</w:t>
      </w:r>
    </w:p>
    <w:tbl>
      <w:tblPr>
        <w:tblStyle w:val="13"/>
        <w:tblW w:w="9942" w:type="dxa"/>
        <w:jc w:val="center"/>
        <w:tblLayout w:type="fixed"/>
        <w:tblCellMar>
          <w:top w:w="0" w:type="dxa"/>
          <w:left w:w="108" w:type="dxa"/>
          <w:bottom w:w="0" w:type="dxa"/>
          <w:right w:w="108" w:type="dxa"/>
        </w:tblCellMar>
      </w:tblPr>
      <w:tblGrid>
        <w:gridCol w:w="1997"/>
        <w:gridCol w:w="2163"/>
        <w:gridCol w:w="1633"/>
        <w:gridCol w:w="4149"/>
      </w:tblGrid>
      <w:tr w14:paraId="43785BE6">
        <w:tblPrEx>
          <w:tblCellMar>
            <w:top w:w="0" w:type="dxa"/>
            <w:left w:w="108" w:type="dxa"/>
            <w:bottom w:w="0" w:type="dxa"/>
            <w:right w:w="108" w:type="dxa"/>
          </w:tblCellMar>
        </w:tblPrEx>
        <w:trPr>
          <w:trHeight w:val="851" w:hRule="atLeast"/>
          <w:jc w:val="center"/>
        </w:trPr>
        <w:tc>
          <w:tcPr>
            <w:tcW w:w="1997"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B048B1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216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A96EA46">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响应报价（含税）</w:t>
            </w:r>
          </w:p>
        </w:tc>
        <w:tc>
          <w:tcPr>
            <w:tcW w:w="163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0E6ADAB2">
            <w:pPr>
              <w:autoSpaceDE w:val="0"/>
              <w:autoSpaceDN w:val="0"/>
              <w:adjustRightInd w:val="0"/>
              <w:spacing w:line="480" w:lineRule="exact"/>
              <w:jc w:val="center"/>
              <w:rPr>
                <w:rFonts w:hint="eastAsia" w:eastAsia="宋体" w:cs="宋体" w:asciiTheme="minorEastAsia" w:hAnsiTheme="minorEastAsia"/>
                <w:b/>
                <w:sz w:val="24"/>
                <w:lang w:val="en-US" w:eastAsia="zh-CN"/>
              </w:rPr>
            </w:pPr>
            <w:r>
              <w:rPr>
                <w:rFonts w:hint="eastAsia" w:cs="宋体" w:asciiTheme="minorEastAsia" w:hAnsiTheme="minorEastAsia"/>
                <w:b/>
                <w:sz w:val="24"/>
                <w:lang w:val="en-US" w:eastAsia="zh-CN"/>
              </w:rPr>
              <w:t>服务期限</w:t>
            </w:r>
          </w:p>
        </w:tc>
        <w:tc>
          <w:tcPr>
            <w:tcW w:w="414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9E917C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4A2134E9">
        <w:tblPrEx>
          <w:tblCellMar>
            <w:top w:w="0" w:type="dxa"/>
            <w:left w:w="108" w:type="dxa"/>
            <w:bottom w:w="0" w:type="dxa"/>
            <w:right w:w="108" w:type="dxa"/>
          </w:tblCellMar>
        </w:tblPrEx>
        <w:trPr>
          <w:trHeight w:val="3593" w:hRule="atLeast"/>
          <w:jc w:val="center"/>
        </w:trPr>
        <w:tc>
          <w:tcPr>
            <w:tcW w:w="1997" w:type="dxa"/>
            <w:tcBorders>
              <w:top w:val="single" w:color="auto" w:sz="6" w:space="0"/>
              <w:left w:val="single" w:color="auto" w:sz="6" w:space="0"/>
              <w:bottom w:val="single" w:color="auto" w:sz="6" w:space="0"/>
              <w:right w:val="single" w:color="auto" w:sz="6" w:space="0"/>
            </w:tcBorders>
            <w:vAlign w:val="center"/>
          </w:tcPr>
          <w:p w14:paraId="31F4F134">
            <w:pPr>
              <w:autoSpaceDE w:val="0"/>
              <w:autoSpaceDN w:val="0"/>
              <w:adjustRightInd w:val="0"/>
              <w:spacing w:line="480" w:lineRule="exact"/>
              <w:rPr>
                <w:rFonts w:hint="default" w:eastAsia="宋体" w:asciiTheme="minorEastAsia" w:hAnsiTheme="minorEastAsia"/>
                <w:sz w:val="24"/>
                <w:lang w:val="en-US" w:eastAsia="zh-CN"/>
              </w:rPr>
            </w:pPr>
            <w:r>
              <w:rPr>
                <w:rFonts w:hint="eastAsia" w:asciiTheme="minorEastAsia" w:hAnsiTheme="minorEastAsia"/>
                <w:sz w:val="24"/>
                <w:lang w:val="en-US" w:eastAsia="zh-CN"/>
              </w:rPr>
              <w:t>许昌市科技广场电梯维保</w:t>
            </w:r>
          </w:p>
        </w:tc>
        <w:tc>
          <w:tcPr>
            <w:tcW w:w="2163" w:type="dxa"/>
            <w:tcBorders>
              <w:top w:val="single" w:color="auto" w:sz="6" w:space="0"/>
              <w:left w:val="single" w:color="auto" w:sz="6" w:space="0"/>
              <w:bottom w:val="single" w:color="auto" w:sz="6" w:space="0"/>
              <w:right w:val="single" w:color="auto" w:sz="6" w:space="0"/>
            </w:tcBorders>
            <w:vAlign w:val="center"/>
          </w:tcPr>
          <w:p w14:paraId="171497DE">
            <w:pPr>
              <w:autoSpaceDE w:val="0"/>
              <w:autoSpaceDN w:val="0"/>
              <w:adjustRightInd w:val="0"/>
              <w:spacing w:line="360" w:lineRule="auto"/>
              <w:jc w:val="left"/>
              <w:rPr>
                <w:rFonts w:cs="宋体" w:asciiTheme="minorEastAsia" w:hAnsiTheme="minorEastAsia"/>
                <w:sz w:val="24"/>
                <w:szCs w:val="24"/>
                <w:lang w:val="zh-CN"/>
              </w:rPr>
            </w:pPr>
            <w:r>
              <w:rPr>
                <w:rFonts w:hint="eastAsia" w:cs="宋体" w:asciiTheme="minorEastAsia" w:hAnsiTheme="minorEastAsia"/>
                <w:sz w:val="24"/>
                <w:szCs w:val="24"/>
                <w:lang w:val="zh-CN"/>
              </w:rPr>
              <w:t>大写：　　</w:t>
            </w:r>
          </w:p>
          <w:p w14:paraId="47253FD0">
            <w:pPr>
              <w:autoSpaceDE w:val="0"/>
              <w:autoSpaceDN w:val="0"/>
              <w:adjustRightInd w:val="0"/>
              <w:spacing w:line="480" w:lineRule="exact"/>
              <w:rPr>
                <w:rFonts w:hint="default" w:eastAsia="宋体" w:cs="宋体" w:asciiTheme="minorEastAsia" w:hAnsiTheme="minorEastAsia"/>
                <w:sz w:val="24"/>
                <w:lang w:val="en-US" w:eastAsia="zh-CN"/>
              </w:rPr>
            </w:pPr>
            <w:r>
              <w:rPr>
                <w:rFonts w:hint="eastAsia" w:cs="宋体" w:asciiTheme="minorEastAsia" w:hAnsiTheme="minorEastAsia"/>
                <w:sz w:val="24"/>
                <w:szCs w:val="24"/>
                <w:lang w:val="zh-CN"/>
              </w:rPr>
              <w:t>小写：</w:t>
            </w:r>
          </w:p>
        </w:tc>
        <w:tc>
          <w:tcPr>
            <w:tcW w:w="1633" w:type="dxa"/>
            <w:tcBorders>
              <w:top w:val="single" w:color="auto" w:sz="6" w:space="0"/>
              <w:left w:val="single" w:color="auto" w:sz="6" w:space="0"/>
              <w:bottom w:val="single" w:color="auto" w:sz="6" w:space="0"/>
              <w:right w:val="single" w:color="auto" w:sz="6" w:space="0"/>
            </w:tcBorders>
            <w:vAlign w:val="center"/>
          </w:tcPr>
          <w:p w14:paraId="16CC3EC3">
            <w:pPr>
              <w:autoSpaceDE w:val="0"/>
              <w:autoSpaceDN w:val="0"/>
              <w:adjustRightInd w:val="0"/>
              <w:spacing w:line="480" w:lineRule="exact"/>
              <w:jc w:val="center"/>
              <w:rPr>
                <w:rFonts w:hint="default" w:eastAsia="宋体" w:cs="宋体" w:asciiTheme="minorEastAsia" w:hAnsiTheme="minorEastAsia"/>
                <w:sz w:val="24"/>
                <w:szCs w:val="24"/>
                <w:lang w:val="en-US" w:eastAsia="zh-CN"/>
              </w:rPr>
            </w:pPr>
            <w:r>
              <w:rPr>
                <w:rFonts w:hint="eastAsia" w:cs="宋体" w:asciiTheme="minorEastAsia" w:hAnsiTheme="minorEastAsia"/>
                <w:sz w:val="24"/>
                <w:szCs w:val="24"/>
                <w:lang w:val="en-US" w:eastAsia="zh-CN"/>
              </w:rPr>
              <w:t>1年</w:t>
            </w:r>
          </w:p>
        </w:tc>
        <w:tc>
          <w:tcPr>
            <w:tcW w:w="4149" w:type="dxa"/>
            <w:tcBorders>
              <w:top w:val="single" w:color="auto" w:sz="6" w:space="0"/>
              <w:left w:val="single" w:color="auto" w:sz="6" w:space="0"/>
              <w:bottom w:val="single" w:color="auto" w:sz="6" w:space="0"/>
              <w:right w:val="single" w:color="auto" w:sz="6" w:space="0"/>
            </w:tcBorders>
            <w:vAlign w:val="center"/>
          </w:tcPr>
          <w:p w14:paraId="110566CB">
            <w:pPr>
              <w:autoSpaceDE w:val="0"/>
              <w:autoSpaceDN w:val="0"/>
              <w:adjustRightInd w:val="0"/>
              <w:spacing w:line="480" w:lineRule="exact"/>
              <w:ind w:firstLine="240"/>
              <w:rPr>
                <w:rFonts w:cs="宋体" w:asciiTheme="minorEastAsia" w:hAnsiTheme="minorEastAsia"/>
                <w:sz w:val="24"/>
                <w:lang w:val="zh-CN"/>
              </w:rPr>
            </w:pPr>
            <w:r>
              <w:rPr>
                <w:rFonts w:hint="eastAsia" w:cs="宋体" w:asciiTheme="minorEastAsia" w:hAnsiTheme="minorEastAsia"/>
                <w:sz w:val="24"/>
                <w:lang w:val="zh-CN"/>
              </w:rPr>
              <w:t>此报价包含投标人提供服务的人员费用及交通费用，包含单价1000元以下的电梯配件费（人为损坏不在此范围），电梯限速校验费，电梯“125%载荷制动试验”费，电梯年检费用，服务使用的计量器具及工具费用，因投标人维保原因产生的安全风险费。</w:t>
            </w:r>
          </w:p>
        </w:tc>
      </w:tr>
    </w:tbl>
    <w:p w14:paraId="0D6FE6E0">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14:paraId="25C0331F">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6C938F66">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14:paraId="4F8C60E4">
      <w:pPr>
        <w:pStyle w:val="29"/>
      </w:pPr>
    </w:p>
    <w:p w14:paraId="6A03FC38"/>
    <w:p w14:paraId="53853330">
      <w:pPr>
        <w:pStyle w:val="11"/>
      </w:pPr>
    </w:p>
    <w:p w14:paraId="04A3BDC2"/>
    <w:p w14:paraId="1E1FCE47">
      <w:pPr>
        <w:pStyle w:val="29"/>
      </w:pPr>
    </w:p>
    <w:p w14:paraId="056E84E4">
      <w:pPr>
        <w:pStyle w:val="29"/>
      </w:pPr>
    </w:p>
    <w:p w14:paraId="24CF6376">
      <w:pPr>
        <w:pStyle w:val="29"/>
      </w:pPr>
    </w:p>
    <w:p w14:paraId="7A4D2A6C">
      <w:pPr>
        <w:pStyle w:val="29"/>
      </w:pPr>
    </w:p>
    <w:p w14:paraId="12104355">
      <w:pPr>
        <w:pStyle w:val="29"/>
      </w:pPr>
    </w:p>
    <w:p w14:paraId="7A7C6123">
      <w:pPr>
        <w:pStyle w:val="29"/>
      </w:pPr>
    </w:p>
    <w:p w14:paraId="1E1E6A67">
      <w:pPr>
        <w:pStyle w:val="29"/>
      </w:pPr>
    </w:p>
    <w:p w14:paraId="5A004A34">
      <w:pPr>
        <w:pStyle w:val="29"/>
      </w:pPr>
    </w:p>
    <w:p w14:paraId="7F55FA6B">
      <w:pPr>
        <w:pStyle w:val="29"/>
      </w:pPr>
    </w:p>
    <w:p w14:paraId="5A3C6A05">
      <w:pPr>
        <w:pStyle w:val="29"/>
      </w:pPr>
    </w:p>
    <w:p w14:paraId="468D4CA9">
      <w:pPr>
        <w:pStyle w:val="29"/>
      </w:pPr>
    </w:p>
    <w:p w14:paraId="7B41D040">
      <w:pPr>
        <w:pStyle w:val="29"/>
      </w:pPr>
    </w:p>
    <w:p w14:paraId="4CAFC1BA">
      <w:pPr>
        <w:pStyle w:val="29"/>
      </w:pPr>
    </w:p>
    <w:p w14:paraId="74ED6BBB">
      <w:pPr>
        <w:pStyle w:val="29"/>
      </w:pPr>
    </w:p>
    <w:p w14:paraId="407709B8">
      <w:pPr>
        <w:pStyle w:val="29"/>
      </w:pPr>
    </w:p>
    <w:p w14:paraId="359707E0">
      <w:pPr>
        <w:spacing w:line="480" w:lineRule="exact"/>
        <w:rPr>
          <w:rFonts w:asciiTheme="majorEastAsia" w:hAnsiTheme="majorEastAsia" w:eastAsiaTheme="majorEastAsia"/>
          <w:b/>
          <w:bCs/>
          <w:sz w:val="28"/>
          <w:szCs w:val="28"/>
        </w:rPr>
      </w:pPr>
    </w:p>
    <w:p w14:paraId="39099B65">
      <w:pPr>
        <w:spacing w:line="480" w:lineRule="exact"/>
        <w:ind w:firstLine="2389" w:firstLineChars="850"/>
        <w:rPr>
          <w:rFonts w:hint="eastAsia" w:asciiTheme="majorEastAsia" w:hAnsiTheme="majorEastAsia" w:eastAsiaTheme="majorEastAsia"/>
          <w:b/>
          <w:bCs/>
          <w:sz w:val="28"/>
          <w:szCs w:val="28"/>
          <w:highlight w:val="yellow"/>
        </w:rPr>
      </w:pPr>
    </w:p>
    <w:p w14:paraId="664C2A56">
      <w:pPr>
        <w:numPr>
          <w:ilvl w:val="0"/>
          <w:numId w:val="0"/>
        </w:numPr>
        <w:spacing w:line="480" w:lineRule="exact"/>
        <w:ind w:firstLine="2389" w:firstLineChars="850"/>
        <w:rPr>
          <w:rFonts w:hint="default" w:asciiTheme="majorEastAsia" w:hAnsiTheme="majorEastAsia" w:eastAsiaTheme="majorEastAsia"/>
          <w:b/>
          <w:bCs/>
          <w:sz w:val="28"/>
          <w:szCs w:val="28"/>
          <w:highlight w:val="none"/>
          <w:lang w:val="en-US" w:eastAsia="zh-CN"/>
        </w:rPr>
      </w:pPr>
      <w:r>
        <w:rPr>
          <w:rFonts w:hint="eastAsia" w:cs="Times New Roman" w:asciiTheme="majorEastAsia" w:hAnsiTheme="majorEastAsia" w:eastAsiaTheme="majorEastAsia"/>
          <w:b/>
          <w:bCs/>
          <w:kern w:val="2"/>
          <w:sz w:val="28"/>
          <w:szCs w:val="28"/>
          <w:highlight w:val="none"/>
          <w:lang w:val="en-US" w:eastAsia="zh-CN" w:bidi="ar-SA"/>
        </w:rPr>
        <w:t>二、</w:t>
      </w:r>
      <w:r>
        <w:rPr>
          <w:rFonts w:hint="eastAsia" w:asciiTheme="majorEastAsia" w:hAnsiTheme="majorEastAsia" w:eastAsiaTheme="majorEastAsia"/>
          <w:b/>
          <w:bCs/>
          <w:sz w:val="28"/>
          <w:szCs w:val="28"/>
          <w:highlight w:val="none"/>
          <w:lang w:val="en-US" w:eastAsia="zh-CN"/>
        </w:rPr>
        <w:t>许昌市科技广场电梯清单</w:t>
      </w:r>
    </w:p>
    <w:p w14:paraId="248AF81E">
      <w:pPr>
        <w:pStyle w:val="11"/>
        <w:rPr>
          <w:rFonts w:hint="eastAsia"/>
          <w:highlight w:val="none"/>
          <w:lang w:val="en-US" w:eastAsia="zh-CN"/>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8"/>
        <w:gridCol w:w="1705"/>
        <w:gridCol w:w="1307"/>
        <w:gridCol w:w="1452"/>
        <w:gridCol w:w="1452"/>
        <w:gridCol w:w="1452"/>
      </w:tblGrid>
      <w:tr w14:paraId="75CE1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768" w:type="dxa"/>
          </w:tcPr>
          <w:p w14:paraId="259578E5">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电梯梯形</w:t>
            </w:r>
          </w:p>
        </w:tc>
        <w:tc>
          <w:tcPr>
            <w:tcW w:w="1705" w:type="dxa"/>
          </w:tcPr>
          <w:p w14:paraId="58AD18FD">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型号</w:t>
            </w:r>
          </w:p>
        </w:tc>
        <w:tc>
          <w:tcPr>
            <w:tcW w:w="1307" w:type="dxa"/>
          </w:tcPr>
          <w:p w14:paraId="32E4943D">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层\站</w:t>
            </w:r>
          </w:p>
        </w:tc>
        <w:tc>
          <w:tcPr>
            <w:tcW w:w="1452" w:type="dxa"/>
          </w:tcPr>
          <w:p w14:paraId="1A96560F">
            <w:pPr>
              <w:pStyle w:val="11"/>
              <w:numPr>
                <w:ilvl w:val="0"/>
                <w:numId w:val="0"/>
              </w:numPr>
              <w:jc w:val="center"/>
              <w:rPr>
                <w:rFonts w:hint="eastAsia"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载重（kg）</w:t>
            </w:r>
          </w:p>
        </w:tc>
        <w:tc>
          <w:tcPr>
            <w:tcW w:w="1452" w:type="dxa"/>
          </w:tcPr>
          <w:p w14:paraId="1A072191">
            <w:pPr>
              <w:pStyle w:val="11"/>
              <w:numPr>
                <w:ilvl w:val="0"/>
                <w:numId w:val="0"/>
              </w:numPr>
              <w:jc w:val="center"/>
              <w:rPr>
                <w:rFonts w:hint="default" w:ascii="宋体" w:hAnsi="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速度（m\s）</w:t>
            </w:r>
          </w:p>
        </w:tc>
        <w:tc>
          <w:tcPr>
            <w:tcW w:w="1452" w:type="dxa"/>
          </w:tcPr>
          <w:p w14:paraId="2F9D27FB">
            <w:pPr>
              <w:pStyle w:val="11"/>
              <w:numPr>
                <w:ilvl w:val="0"/>
                <w:numId w:val="0"/>
              </w:numPr>
              <w:jc w:val="center"/>
              <w:rPr>
                <w:rFonts w:hint="default" w:ascii="宋体" w:hAnsi="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数量</w:t>
            </w:r>
          </w:p>
        </w:tc>
      </w:tr>
      <w:tr w14:paraId="4413B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768" w:type="dxa"/>
          </w:tcPr>
          <w:p w14:paraId="5B2E6EE6">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客梯</w:t>
            </w:r>
          </w:p>
        </w:tc>
        <w:tc>
          <w:tcPr>
            <w:tcW w:w="1705" w:type="dxa"/>
            <w:vAlign w:val="center"/>
          </w:tcPr>
          <w:p w14:paraId="71277429">
            <w:pPr>
              <w:keepNext w:val="0"/>
              <w:keepLines w:val="0"/>
              <w:widowControl/>
              <w:suppressLineNumbers w:val="0"/>
              <w:jc w:val="center"/>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eastAsia" w:ascii="宋体" w:hAnsi="宋体" w:cs="宋体"/>
                <w:i w:val="0"/>
                <w:iCs w:val="0"/>
                <w:color w:val="000000"/>
                <w:kern w:val="2"/>
                <w:sz w:val="24"/>
                <w:szCs w:val="24"/>
                <w:highlight w:val="none"/>
                <w:u w:val="none"/>
                <w:lang w:val="en-US" w:eastAsia="zh-CN" w:bidi="ar-SA"/>
              </w:rPr>
              <w:t>GCS-800</w:t>
            </w:r>
          </w:p>
        </w:tc>
        <w:tc>
          <w:tcPr>
            <w:tcW w:w="1307" w:type="dxa"/>
          </w:tcPr>
          <w:p w14:paraId="739FBF08">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3</w:t>
            </w:r>
          </w:p>
        </w:tc>
        <w:tc>
          <w:tcPr>
            <w:tcW w:w="1452" w:type="dxa"/>
          </w:tcPr>
          <w:p w14:paraId="6091AA2A">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1000</w:t>
            </w:r>
          </w:p>
        </w:tc>
        <w:tc>
          <w:tcPr>
            <w:tcW w:w="1452" w:type="dxa"/>
          </w:tcPr>
          <w:p w14:paraId="2410D7EC">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1.5</w:t>
            </w:r>
          </w:p>
        </w:tc>
        <w:tc>
          <w:tcPr>
            <w:tcW w:w="1452" w:type="dxa"/>
          </w:tcPr>
          <w:p w14:paraId="4CFE19B2">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4</w:t>
            </w:r>
          </w:p>
        </w:tc>
      </w:tr>
      <w:tr w14:paraId="2E8B9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768" w:type="dxa"/>
          </w:tcPr>
          <w:p w14:paraId="052EC909">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客梯</w:t>
            </w:r>
          </w:p>
        </w:tc>
        <w:tc>
          <w:tcPr>
            <w:tcW w:w="1705" w:type="dxa"/>
            <w:vAlign w:val="center"/>
          </w:tcPr>
          <w:p w14:paraId="31A58633">
            <w:pPr>
              <w:keepNext w:val="0"/>
              <w:keepLines w:val="0"/>
              <w:widowControl/>
              <w:suppressLineNumbers w:val="0"/>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cs="宋体"/>
                <w:i w:val="0"/>
                <w:iCs w:val="0"/>
                <w:color w:val="000000"/>
                <w:kern w:val="2"/>
                <w:sz w:val="24"/>
                <w:szCs w:val="24"/>
                <w:highlight w:val="none"/>
                <w:u w:val="none"/>
                <w:lang w:val="en-US" w:eastAsia="zh-CN" w:bidi="ar-SA"/>
              </w:rPr>
              <w:t>GCS-800</w:t>
            </w:r>
          </w:p>
        </w:tc>
        <w:tc>
          <w:tcPr>
            <w:tcW w:w="1307" w:type="dxa"/>
          </w:tcPr>
          <w:p w14:paraId="63F2CC04">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4</w:t>
            </w:r>
          </w:p>
        </w:tc>
        <w:tc>
          <w:tcPr>
            <w:tcW w:w="1452" w:type="dxa"/>
            <w:shd w:val="clear" w:color="auto" w:fill="auto"/>
            <w:vAlign w:val="top"/>
          </w:tcPr>
          <w:p w14:paraId="14415537">
            <w:pPr>
              <w:pStyle w:val="11"/>
              <w:numPr>
                <w:ilvl w:val="0"/>
                <w:numId w:val="0"/>
              </w:numPr>
              <w:ind w:left="0" w:leftChars="0" w:firstLine="0" w:firstLineChars="0"/>
              <w:jc w:val="center"/>
              <w:rPr>
                <w:rFonts w:hint="eastAsia" w:ascii="宋体" w:hAnsi="宋体" w:eastAsia="宋体" w:cs="宋体"/>
                <w:kern w:val="2"/>
                <w:sz w:val="24"/>
                <w:szCs w:val="24"/>
                <w:highlight w:val="none"/>
                <w:vertAlign w:val="baseline"/>
                <w:lang w:val="en-US" w:eastAsia="zh-CN" w:bidi="ar-SA"/>
              </w:rPr>
            </w:pPr>
            <w:r>
              <w:rPr>
                <w:rFonts w:hint="eastAsia" w:ascii="宋体" w:hAnsi="宋体" w:cs="宋体"/>
                <w:sz w:val="24"/>
                <w:szCs w:val="24"/>
                <w:highlight w:val="none"/>
                <w:vertAlign w:val="baseline"/>
                <w:lang w:val="en-US" w:eastAsia="zh-CN"/>
              </w:rPr>
              <w:t>1000</w:t>
            </w:r>
          </w:p>
        </w:tc>
        <w:tc>
          <w:tcPr>
            <w:tcW w:w="1452" w:type="dxa"/>
            <w:shd w:val="clear" w:color="auto" w:fill="auto"/>
            <w:vAlign w:val="top"/>
          </w:tcPr>
          <w:p w14:paraId="4CDD207B">
            <w:pPr>
              <w:pStyle w:val="11"/>
              <w:numPr>
                <w:ilvl w:val="0"/>
                <w:numId w:val="0"/>
              </w:numPr>
              <w:ind w:left="0" w:leftChars="0" w:firstLine="0" w:firstLineChars="0"/>
              <w:jc w:val="center"/>
              <w:rPr>
                <w:rFonts w:hint="eastAsia" w:ascii="宋体" w:hAnsi="宋体" w:eastAsia="宋体" w:cs="宋体"/>
                <w:kern w:val="2"/>
                <w:sz w:val="24"/>
                <w:szCs w:val="24"/>
                <w:highlight w:val="none"/>
                <w:vertAlign w:val="baseline"/>
                <w:lang w:val="en-US" w:eastAsia="zh-CN" w:bidi="ar-SA"/>
              </w:rPr>
            </w:pPr>
            <w:r>
              <w:rPr>
                <w:rFonts w:hint="eastAsia" w:ascii="宋体" w:hAnsi="宋体" w:cs="宋体"/>
                <w:sz w:val="24"/>
                <w:szCs w:val="24"/>
                <w:highlight w:val="none"/>
                <w:vertAlign w:val="baseline"/>
                <w:lang w:val="en-US" w:eastAsia="zh-CN"/>
              </w:rPr>
              <w:t>1.5</w:t>
            </w:r>
          </w:p>
        </w:tc>
        <w:tc>
          <w:tcPr>
            <w:tcW w:w="1452" w:type="dxa"/>
          </w:tcPr>
          <w:p w14:paraId="6A066D9D">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2</w:t>
            </w:r>
          </w:p>
        </w:tc>
      </w:tr>
      <w:tr w14:paraId="68379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768" w:type="dxa"/>
          </w:tcPr>
          <w:p w14:paraId="32CCC3D9">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货梯</w:t>
            </w:r>
          </w:p>
        </w:tc>
        <w:tc>
          <w:tcPr>
            <w:tcW w:w="1705" w:type="dxa"/>
            <w:vAlign w:val="center"/>
          </w:tcPr>
          <w:p w14:paraId="41BA6FED">
            <w:pPr>
              <w:keepNext w:val="0"/>
              <w:keepLines w:val="0"/>
              <w:widowControl/>
              <w:suppressLineNumbers w:val="0"/>
              <w:jc w:val="center"/>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eastAsia" w:ascii="宋体" w:hAnsi="宋体" w:cs="宋体"/>
                <w:i w:val="0"/>
                <w:iCs w:val="0"/>
                <w:color w:val="000000"/>
                <w:kern w:val="2"/>
                <w:sz w:val="24"/>
                <w:szCs w:val="24"/>
                <w:highlight w:val="none"/>
                <w:u w:val="none"/>
                <w:lang w:val="en-US" w:eastAsia="zh-CN" w:bidi="ar-SA"/>
              </w:rPr>
              <w:t>UN-F5000</w:t>
            </w:r>
          </w:p>
        </w:tc>
        <w:tc>
          <w:tcPr>
            <w:tcW w:w="1307" w:type="dxa"/>
          </w:tcPr>
          <w:p w14:paraId="168D34F0">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2</w:t>
            </w:r>
          </w:p>
        </w:tc>
        <w:tc>
          <w:tcPr>
            <w:tcW w:w="1452" w:type="dxa"/>
            <w:vAlign w:val="center"/>
          </w:tcPr>
          <w:p w14:paraId="167F0E1B">
            <w:pPr>
              <w:keepNext w:val="0"/>
              <w:keepLines w:val="0"/>
              <w:widowControl/>
              <w:suppressLineNumbers w:val="0"/>
              <w:jc w:val="center"/>
              <w:textAlignment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2000</w:t>
            </w:r>
          </w:p>
        </w:tc>
        <w:tc>
          <w:tcPr>
            <w:tcW w:w="1452" w:type="dxa"/>
            <w:vAlign w:val="center"/>
          </w:tcPr>
          <w:p w14:paraId="0B375CB1">
            <w:pPr>
              <w:keepNext w:val="0"/>
              <w:keepLines w:val="0"/>
              <w:widowControl/>
              <w:suppressLineNumbers w:val="0"/>
              <w:jc w:val="center"/>
              <w:textAlignment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0.5</w:t>
            </w:r>
          </w:p>
        </w:tc>
        <w:tc>
          <w:tcPr>
            <w:tcW w:w="1452" w:type="dxa"/>
            <w:vAlign w:val="center"/>
          </w:tcPr>
          <w:p w14:paraId="106F52D9">
            <w:pPr>
              <w:keepNext w:val="0"/>
              <w:keepLines w:val="0"/>
              <w:widowControl/>
              <w:suppressLineNumbers w:val="0"/>
              <w:jc w:val="center"/>
              <w:textAlignment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1</w:t>
            </w:r>
          </w:p>
        </w:tc>
      </w:tr>
      <w:tr w14:paraId="2F50D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exact"/>
        </w:trPr>
        <w:tc>
          <w:tcPr>
            <w:tcW w:w="1768" w:type="dxa"/>
          </w:tcPr>
          <w:p w14:paraId="3B5630C6">
            <w:pPr>
              <w:pStyle w:val="12"/>
              <w:ind w:left="0" w:leftChars="0" w:firstLine="0" w:firstLineChars="0"/>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扶梯</w:t>
            </w:r>
          </w:p>
        </w:tc>
        <w:tc>
          <w:tcPr>
            <w:tcW w:w="1705" w:type="dxa"/>
            <w:vAlign w:val="center"/>
          </w:tcPr>
          <w:p w14:paraId="15198CE7">
            <w:pPr>
              <w:keepNext w:val="0"/>
              <w:keepLines w:val="0"/>
              <w:widowControl/>
              <w:suppressLineNumbers w:val="0"/>
              <w:jc w:val="center"/>
              <w:textAlignment w:val="center"/>
              <w:rPr>
                <w:rFonts w:hint="eastAsia" w:ascii="宋体" w:hAnsi="宋体" w:cs="宋体"/>
                <w:i w:val="0"/>
                <w:iCs w:val="0"/>
                <w:color w:val="000000"/>
                <w:kern w:val="2"/>
                <w:sz w:val="24"/>
                <w:szCs w:val="24"/>
                <w:highlight w:val="none"/>
                <w:u w:val="none"/>
                <w:lang w:val="en-US" w:eastAsia="zh-CN" w:bidi="ar-SA"/>
              </w:rPr>
            </w:pPr>
            <w:r>
              <w:rPr>
                <w:rFonts w:hint="eastAsia" w:ascii="宋体" w:hAnsi="宋体" w:cs="宋体"/>
                <w:i w:val="0"/>
                <w:iCs w:val="0"/>
                <w:color w:val="000000"/>
                <w:kern w:val="2"/>
                <w:sz w:val="24"/>
                <w:szCs w:val="24"/>
                <w:highlight w:val="none"/>
                <w:u w:val="none"/>
                <w:lang w:val="en-US" w:eastAsia="zh-CN" w:bidi="ar-SA"/>
              </w:rPr>
              <w:t>UN-ES008</w:t>
            </w:r>
          </w:p>
          <w:p w14:paraId="558387F5">
            <w:pPr>
              <w:keepNext w:val="0"/>
              <w:keepLines w:val="0"/>
              <w:widowControl/>
              <w:suppressLineNumbers w:val="0"/>
              <w:jc w:val="center"/>
              <w:textAlignment w:val="center"/>
              <w:rPr>
                <w:rFonts w:hint="default" w:ascii="宋体" w:hAnsi="宋体" w:cs="宋体"/>
                <w:i w:val="0"/>
                <w:iCs w:val="0"/>
                <w:color w:val="000000"/>
                <w:kern w:val="2"/>
                <w:sz w:val="24"/>
                <w:szCs w:val="24"/>
                <w:highlight w:val="none"/>
                <w:u w:val="none"/>
                <w:lang w:val="en-US" w:eastAsia="zh-CN" w:bidi="ar-SA"/>
              </w:rPr>
            </w:pPr>
            <w:r>
              <w:rPr>
                <w:rFonts w:hint="eastAsia" w:ascii="宋体" w:hAnsi="宋体" w:cs="宋体"/>
                <w:i w:val="0"/>
                <w:iCs w:val="0"/>
                <w:color w:val="000000"/>
                <w:kern w:val="2"/>
                <w:sz w:val="24"/>
                <w:szCs w:val="24"/>
                <w:highlight w:val="none"/>
                <w:u w:val="none"/>
                <w:lang w:val="en-US" w:eastAsia="zh-CN" w:bidi="ar-SA"/>
              </w:rPr>
              <w:t>800mm/30°</w:t>
            </w:r>
          </w:p>
        </w:tc>
        <w:tc>
          <w:tcPr>
            <w:tcW w:w="1307" w:type="dxa"/>
          </w:tcPr>
          <w:p w14:paraId="399CE39D">
            <w:pPr>
              <w:pStyle w:val="11"/>
              <w:numPr>
                <w:ilvl w:val="0"/>
                <w:numId w:val="0"/>
              </w:numPr>
              <w:jc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w:t>
            </w:r>
          </w:p>
        </w:tc>
        <w:tc>
          <w:tcPr>
            <w:tcW w:w="1452" w:type="dxa"/>
            <w:vAlign w:val="center"/>
          </w:tcPr>
          <w:p w14:paraId="3A7AF69F">
            <w:pPr>
              <w:keepNext w:val="0"/>
              <w:keepLines w:val="0"/>
              <w:widowControl/>
              <w:suppressLineNumbers w:val="0"/>
              <w:jc w:val="center"/>
              <w:textAlignment w:val="center"/>
              <w:rPr>
                <w:rFonts w:hint="eastAsia"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w:t>
            </w:r>
          </w:p>
        </w:tc>
        <w:tc>
          <w:tcPr>
            <w:tcW w:w="1452" w:type="dxa"/>
            <w:vAlign w:val="center"/>
          </w:tcPr>
          <w:p w14:paraId="443E0027">
            <w:pPr>
              <w:keepNext w:val="0"/>
              <w:keepLines w:val="0"/>
              <w:widowControl/>
              <w:suppressLineNumbers w:val="0"/>
              <w:jc w:val="center"/>
              <w:textAlignment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0.5</w:t>
            </w:r>
          </w:p>
        </w:tc>
        <w:tc>
          <w:tcPr>
            <w:tcW w:w="1452" w:type="dxa"/>
            <w:vAlign w:val="center"/>
          </w:tcPr>
          <w:p w14:paraId="72C1DED8">
            <w:pPr>
              <w:keepNext w:val="0"/>
              <w:keepLines w:val="0"/>
              <w:widowControl/>
              <w:suppressLineNumbers w:val="0"/>
              <w:jc w:val="center"/>
              <w:textAlignment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8</w:t>
            </w:r>
          </w:p>
        </w:tc>
      </w:tr>
      <w:tr w14:paraId="310B1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exact"/>
        </w:trPr>
        <w:tc>
          <w:tcPr>
            <w:tcW w:w="7684" w:type="dxa"/>
            <w:gridSpan w:val="5"/>
          </w:tcPr>
          <w:p w14:paraId="725FE74F">
            <w:pPr>
              <w:keepNext w:val="0"/>
              <w:keepLines w:val="0"/>
              <w:widowControl/>
              <w:suppressLineNumbers w:val="0"/>
              <w:jc w:val="center"/>
              <w:textAlignment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共计</w:t>
            </w:r>
          </w:p>
        </w:tc>
        <w:tc>
          <w:tcPr>
            <w:tcW w:w="1452" w:type="dxa"/>
            <w:vAlign w:val="center"/>
          </w:tcPr>
          <w:p w14:paraId="307817E9">
            <w:pPr>
              <w:keepNext w:val="0"/>
              <w:keepLines w:val="0"/>
              <w:widowControl/>
              <w:suppressLineNumbers w:val="0"/>
              <w:jc w:val="center"/>
              <w:textAlignment w:val="center"/>
              <w:rPr>
                <w:rFonts w:hint="default" w:ascii="宋体" w:hAnsi="宋体" w:eastAsia="宋体" w:cs="宋体"/>
                <w:sz w:val="24"/>
                <w:szCs w:val="24"/>
                <w:highlight w:val="none"/>
                <w:vertAlign w:val="baseline"/>
                <w:lang w:val="en-US" w:eastAsia="zh-CN"/>
              </w:rPr>
            </w:pPr>
            <w:r>
              <w:rPr>
                <w:rFonts w:hint="eastAsia" w:ascii="宋体" w:hAnsi="宋体" w:cs="宋体"/>
                <w:sz w:val="24"/>
                <w:szCs w:val="24"/>
                <w:highlight w:val="none"/>
                <w:vertAlign w:val="baseline"/>
                <w:lang w:val="en-US" w:eastAsia="zh-CN"/>
              </w:rPr>
              <w:t>15</w:t>
            </w:r>
          </w:p>
        </w:tc>
      </w:tr>
    </w:tbl>
    <w:p w14:paraId="5DA43F1F">
      <w:pPr>
        <w:pStyle w:val="11"/>
        <w:numPr>
          <w:ilvl w:val="0"/>
          <w:numId w:val="0"/>
        </w:numPr>
        <w:rPr>
          <w:rFonts w:hint="default"/>
          <w:highlight w:val="yellow"/>
          <w:lang w:val="en-US" w:eastAsia="zh-CN"/>
        </w:rPr>
      </w:pPr>
    </w:p>
    <w:p w14:paraId="2CB72A65">
      <w:pPr>
        <w:spacing w:line="480" w:lineRule="exact"/>
        <w:ind w:firstLine="2389" w:firstLineChars="850"/>
        <w:rPr>
          <w:rFonts w:hint="eastAsia" w:asciiTheme="majorEastAsia" w:hAnsiTheme="majorEastAsia" w:eastAsiaTheme="majorEastAsia"/>
          <w:b/>
          <w:bCs/>
          <w:sz w:val="28"/>
          <w:szCs w:val="28"/>
          <w:lang w:val="en-US" w:eastAsia="zh-CN"/>
        </w:rPr>
      </w:pPr>
    </w:p>
    <w:p w14:paraId="6C3C2189">
      <w:pPr>
        <w:spacing w:line="480" w:lineRule="exact"/>
        <w:ind w:firstLine="2389" w:firstLineChars="850"/>
        <w:rPr>
          <w:rFonts w:hint="eastAsia" w:asciiTheme="majorEastAsia" w:hAnsiTheme="majorEastAsia" w:eastAsiaTheme="majorEastAsia"/>
          <w:b/>
          <w:bCs/>
          <w:sz w:val="28"/>
          <w:szCs w:val="28"/>
          <w:lang w:val="en-US" w:eastAsia="zh-CN"/>
        </w:rPr>
      </w:pPr>
    </w:p>
    <w:p w14:paraId="7665CDB1">
      <w:pPr>
        <w:spacing w:line="480" w:lineRule="exact"/>
        <w:ind w:firstLine="2389" w:firstLineChars="850"/>
        <w:rPr>
          <w:rFonts w:hint="eastAsia" w:asciiTheme="majorEastAsia" w:hAnsiTheme="majorEastAsia" w:eastAsiaTheme="majorEastAsia"/>
          <w:b/>
          <w:bCs/>
          <w:sz w:val="28"/>
          <w:szCs w:val="28"/>
          <w:lang w:val="en-US" w:eastAsia="zh-CN"/>
        </w:rPr>
      </w:pPr>
    </w:p>
    <w:p w14:paraId="23A8E26C">
      <w:pPr>
        <w:spacing w:line="480" w:lineRule="exact"/>
        <w:ind w:firstLine="2389" w:firstLineChars="850"/>
        <w:rPr>
          <w:rFonts w:hint="eastAsia" w:asciiTheme="majorEastAsia" w:hAnsiTheme="majorEastAsia" w:eastAsiaTheme="majorEastAsia"/>
          <w:b/>
          <w:bCs/>
          <w:sz w:val="28"/>
          <w:szCs w:val="28"/>
          <w:lang w:val="en-US" w:eastAsia="zh-CN"/>
        </w:rPr>
      </w:pPr>
    </w:p>
    <w:p w14:paraId="3E7622C0">
      <w:pPr>
        <w:spacing w:line="480" w:lineRule="exact"/>
        <w:ind w:firstLine="2389" w:firstLineChars="850"/>
        <w:rPr>
          <w:rFonts w:hint="eastAsia" w:asciiTheme="majorEastAsia" w:hAnsiTheme="majorEastAsia" w:eastAsiaTheme="majorEastAsia"/>
          <w:b/>
          <w:bCs/>
          <w:sz w:val="28"/>
          <w:szCs w:val="28"/>
          <w:lang w:val="en-US" w:eastAsia="zh-CN"/>
        </w:rPr>
      </w:pPr>
    </w:p>
    <w:p w14:paraId="47D956EF">
      <w:pPr>
        <w:spacing w:line="480" w:lineRule="exact"/>
        <w:ind w:firstLine="2389" w:firstLineChars="850"/>
        <w:rPr>
          <w:rFonts w:hint="eastAsia" w:asciiTheme="majorEastAsia" w:hAnsiTheme="majorEastAsia" w:eastAsiaTheme="majorEastAsia"/>
          <w:b/>
          <w:bCs/>
          <w:sz w:val="28"/>
          <w:szCs w:val="28"/>
          <w:lang w:val="en-US" w:eastAsia="zh-CN"/>
        </w:rPr>
      </w:pPr>
    </w:p>
    <w:p w14:paraId="145059B1">
      <w:pPr>
        <w:spacing w:line="480" w:lineRule="exact"/>
        <w:ind w:firstLine="2389" w:firstLineChars="850"/>
        <w:rPr>
          <w:rFonts w:hint="eastAsia" w:asciiTheme="majorEastAsia" w:hAnsiTheme="majorEastAsia" w:eastAsiaTheme="majorEastAsia"/>
          <w:b/>
          <w:bCs/>
          <w:sz w:val="28"/>
          <w:szCs w:val="28"/>
          <w:lang w:val="en-US" w:eastAsia="zh-CN"/>
        </w:rPr>
      </w:pPr>
    </w:p>
    <w:p w14:paraId="03EC4EB1">
      <w:pPr>
        <w:spacing w:line="480" w:lineRule="exact"/>
        <w:ind w:firstLine="2389" w:firstLineChars="850"/>
        <w:rPr>
          <w:rFonts w:hint="eastAsia" w:asciiTheme="majorEastAsia" w:hAnsiTheme="majorEastAsia" w:eastAsiaTheme="majorEastAsia"/>
          <w:b/>
          <w:bCs/>
          <w:sz w:val="28"/>
          <w:szCs w:val="28"/>
          <w:lang w:val="en-US" w:eastAsia="zh-CN"/>
        </w:rPr>
      </w:pPr>
    </w:p>
    <w:p w14:paraId="67F30554">
      <w:pPr>
        <w:spacing w:line="480" w:lineRule="exact"/>
        <w:ind w:firstLine="2389" w:firstLineChars="850"/>
        <w:rPr>
          <w:rFonts w:hint="eastAsia" w:asciiTheme="majorEastAsia" w:hAnsiTheme="majorEastAsia" w:eastAsiaTheme="majorEastAsia"/>
          <w:b/>
          <w:bCs/>
          <w:sz w:val="28"/>
          <w:szCs w:val="28"/>
          <w:lang w:val="en-US" w:eastAsia="zh-CN"/>
        </w:rPr>
      </w:pPr>
    </w:p>
    <w:p w14:paraId="1C77B4F3">
      <w:pPr>
        <w:spacing w:line="480" w:lineRule="exact"/>
        <w:ind w:firstLine="2389" w:firstLineChars="850"/>
        <w:rPr>
          <w:rFonts w:hint="eastAsia" w:asciiTheme="majorEastAsia" w:hAnsiTheme="majorEastAsia" w:eastAsiaTheme="majorEastAsia"/>
          <w:b/>
          <w:bCs/>
          <w:sz w:val="28"/>
          <w:szCs w:val="28"/>
          <w:lang w:val="en-US" w:eastAsia="zh-CN"/>
        </w:rPr>
      </w:pPr>
    </w:p>
    <w:p w14:paraId="74760ADD">
      <w:pPr>
        <w:spacing w:line="480" w:lineRule="exact"/>
        <w:ind w:firstLine="2389" w:firstLineChars="850"/>
        <w:rPr>
          <w:rFonts w:hint="eastAsia" w:asciiTheme="majorEastAsia" w:hAnsiTheme="majorEastAsia" w:eastAsiaTheme="majorEastAsia"/>
          <w:b/>
          <w:bCs/>
          <w:sz w:val="28"/>
          <w:szCs w:val="28"/>
          <w:lang w:val="en-US" w:eastAsia="zh-CN"/>
        </w:rPr>
      </w:pPr>
    </w:p>
    <w:p w14:paraId="231FCD0D">
      <w:pPr>
        <w:spacing w:line="480" w:lineRule="exact"/>
        <w:ind w:firstLine="2389" w:firstLineChars="850"/>
        <w:rPr>
          <w:rFonts w:hint="eastAsia" w:asciiTheme="majorEastAsia" w:hAnsiTheme="majorEastAsia" w:eastAsiaTheme="majorEastAsia"/>
          <w:b/>
          <w:bCs/>
          <w:sz w:val="28"/>
          <w:szCs w:val="28"/>
          <w:lang w:val="en-US" w:eastAsia="zh-CN"/>
        </w:rPr>
      </w:pPr>
    </w:p>
    <w:p w14:paraId="4503E282">
      <w:pPr>
        <w:spacing w:line="480" w:lineRule="exact"/>
        <w:ind w:firstLine="2389" w:firstLineChars="850"/>
        <w:rPr>
          <w:rFonts w:hint="eastAsia" w:asciiTheme="majorEastAsia" w:hAnsiTheme="majorEastAsia" w:eastAsiaTheme="majorEastAsia"/>
          <w:b/>
          <w:bCs/>
          <w:sz w:val="28"/>
          <w:szCs w:val="28"/>
          <w:lang w:val="en-US" w:eastAsia="zh-CN"/>
        </w:rPr>
      </w:pPr>
    </w:p>
    <w:p w14:paraId="7FB6F8E1">
      <w:pPr>
        <w:spacing w:line="480" w:lineRule="exact"/>
        <w:ind w:firstLine="2389" w:firstLineChars="850"/>
        <w:rPr>
          <w:rFonts w:hint="eastAsia" w:asciiTheme="majorEastAsia" w:hAnsiTheme="majorEastAsia" w:eastAsiaTheme="majorEastAsia"/>
          <w:b/>
          <w:bCs/>
          <w:sz w:val="28"/>
          <w:szCs w:val="28"/>
          <w:lang w:val="en-US" w:eastAsia="zh-CN"/>
        </w:rPr>
      </w:pPr>
    </w:p>
    <w:p w14:paraId="0805C2D4">
      <w:pPr>
        <w:spacing w:line="480" w:lineRule="exact"/>
        <w:ind w:firstLine="2389" w:firstLineChars="850"/>
        <w:rPr>
          <w:rFonts w:hint="eastAsia" w:asciiTheme="majorEastAsia" w:hAnsiTheme="majorEastAsia" w:eastAsiaTheme="majorEastAsia"/>
          <w:b/>
          <w:bCs/>
          <w:sz w:val="28"/>
          <w:szCs w:val="28"/>
          <w:lang w:val="en-US" w:eastAsia="zh-CN"/>
        </w:rPr>
      </w:pPr>
    </w:p>
    <w:p w14:paraId="071C5D95">
      <w:pPr>
        <w:spacing w:line="480" w:lineRule="exact"/>
        <w:ind w:firstLine="2389" w:firstLineChars="850"/>
        <w:rPr>
          <w:rFonts w:hint="eastAsia" w:asciiTheme="majorEastAsia" w:hAnsiTheme="majorEastAsia" w:eastAsiaTheme="majorEastAsia"/>
          <w:b/>
          <w:bCs/>
          <w:sz w:val="28"/>
          <w:szCs w:val="28"/>
          <w:lang w:val="en-US" w:eastAsia="zh-CN"/>
        </w:rPr>
      </w:pPr>
    </w:p>
    <w:p w14:paraId="056CE5B8">
      <w:pPr>
        <w:spacing w:line="480" w:lineRule="exact"/>
        <w:ind w:firstLine="2389" w:firstLineChars="850"/>
        <w:rPr>
          <w:rFonts w:hint="eastAsia" w:asciiTheme="majorEastAsia" w:hAnsiTheme="majorEastAsia" w:eastAsiaTheme="majorEastAsia"/>
          <w:b/>
          <w:bCs/>
          <w:sz w:val="28"/>
          <w:szCs w:val="28"/>
          <w:lang w:val="en-US" w:eastAsia="zh-CN"/>
        </w:rPr>
      </w:pPr>
    </w:p>
    <w:p w14:paraId="7ED34FDF">
      <w:pPr>
        <w:spacing w:line="480" w:lineRule="exact"/>
        <w:ind w:firstLine="2389" w:firstLineChars="850"/>
        <w:rPr>
          <w:rFonts w:hint="eastAsia" w:asciiTheme="majorEastAsia" w:hAnsiTheme="majorEastAsia" w:eastAsiaTheme="majorEastAsia"/>
          <w:b/>
          <w:bCs/>
          <w:sz w:val="28"/>
          <w:szCs w:val="28"/>
          <w:lang w:val="en-US" w:eastAsia="zh-CN"/>
        </w:rPr>
      </w:pPr>
    </w:p>
    <w:p w14:paraId="3A6E54B6">
      <w:pPr>
        <w:spacing w:line="480" w:lineRule="exact"/>
        <w:rPr>
          <w:rFonts w:hint="eastAsia" w:asciiTheme="majorEastAsia" w:hAnsiTheme="majorEastAsia" w:eastAsiaTheme="majorEastAsia"/>
          <w:b/>
          <w:bCs/>
          <w:sz w:val="28"/>
          <w:szCs w:val="28"/>
          <w:lang w:val="en-US" w:eastAsia="zh-CN"/>
        </w:rPr>
      </w:pPr>
    </w:p>
    <w:p w14:paraId="08B1B091">
      <w:pPr>
        <w:spacing w:line="480" w:lineRule="exact"/>
        <w:ind w:firstLine="2389" w:firstLineChars="850"/>
        <w:rPr>
          <w:rFonts w:hint="eastAsia" w:asciiTheme="majorEastAsia" w:hAnsiTheme="majorEastAsia" w:eastAsiaTheme="majorEastAsia"/>
          <w:b/>
          <w:bCs/>
          <w:sz w:val="28"/>
          <w:szCs w:val="28"/>
          <w:lang w:val="en-US" w:eastAsia="zh-CN"/>
        </w:rPr>
      </w:pPr>
    </w:p>
    <w:p w14:paraId="5F463065">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三</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5D17FEE1">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1528445C">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14:paraId="2669AF77">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0FA1C9BB">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24D2CAD0">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47E37390">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44CE33BA">
      <w:pPr>
        <w:pStyle w:val="31"/>
        <w:spacing w:line="480" w:lineRule="auto"/>
        <w:ind w:firstLine="540" w:firstLineChars="225"/>
        <w:jc w:val="left"/>
        <w:rPr>
          <w:rFonts w:asciiTheme="minorEastAsia" w:hAnsiTheme="minorEastAsia"/>
        </w:rPr>
      </w:pPr>
    </w:p>
    <w:p w14:paraId="43EA2DDE">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2AF8DFCC">
      <w:pPr>
        <w:pStyle w:val="31"/>
        <w:spacing w:line="480" w:lineRule="auto"/>
        <w:ind w:left="-538" w:leftChars="-256" w:firstLine="616" w:firstLineChars="257"/>
        <w:jc w:val="center"/>
        <w:rPr>
          <w:rFonts w:asciiTheme="minorEastAsia" w:hAnsiTheme="minorEastAsia"/>
          <w:bCs/>
        </w:rPr>
      </w:pPr>
    </w:p>
    <w:p w14:paraId="67898E44">
      <w:pPr>
        <w:autoSpaceDE w:val="0"/>
        <w:autoSpaceDN w:val="0"/>
        <w:adjustRightInd w:val="0"/>
        <w:spacing w:line="360" w:lineRule="auto"/>
        <w:ind w:right="-11"/>
        <w:rPr>
          <w:rFonts w:cs="宋体" w:asciiTheme="minorEastAsia" w:hAnsiTheme="minorEastAsia"/>
          <w:sz w:val="24"/>
          <w:lang w:val="zh-CN"/>
        </w:rPr>
      </w:pPr>
    </w:p>
    <w:p w14:paraId="4F6A05B8">
      <w:pPr>
        <w:autoSpaceDE w:val="0"/>
        <w:autoSpaceDN w:val="0"/>
        <w:adjustRightInd w:val="0"/>
        <w:spacing w:line="360" w:lineRule="auto"/>
        <w:ind w:right="-11"/>
        <w:rPr>
          <w:rFonts w:cs="宋体" w:asciiTheme="minorEastAsia" w:hAnsiTheme="minorEastAsia"/>
          <w:sz w:val="24"/>
          <w:lang w:val="zh-CN"/>
        </w:rPr>
      </w:pPr>
    </w:p>
    <w:p w14:paraId="0C0D207A">
      <w:pPr>
        <w:autoSpaceDE w:val="0"/>
        <w:autoSpaceDN w:val="0"/>
        <w:adjustRightInd w:val="0"/>
        <w:spacing w:line="360" w:lineRule="auto"/>
        <w:ind w:right="-11"/>
        <w:rPr>
          <w:rFonts w:cs="宋体" w:asciiTheme="minorEastAsia" w:hAnsiTheme="minorEastAsia"/>
          <w:sz w:val="24"/>
          <w:lang w:val="zh-CN"/>
        </w:rPr>
      </w:pPr>
    </w:p>
    <w:p w14:paraId="62237736">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3538F43C">
      <w:pPr>
        <w:pStyle w:val="3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14AB85C6">
      <w:pPr>
        <w:pStyle w:val="33"/>
        <w:spacing w:line="480" w:lineRule="auto"/>
        <w:rPr>
          <w:rFonts w:cs="Arial" w:asciiTheme="minorEastAsia" w:hAnsiTheme="minorEastAsia"/>
          <w:sz w:val="21"/>
          <w:szCs w:val="21"/>
        </w:rPr>
      </w:pPr>
    </w:p>
    <w:p w14:paraId="38DB8E58">
      <w:pPr>
        <w:spacing w:line="480" w:lineRule="exact"/>
        <w:ind w:firstLine="2289" w:firstLineChars="950"/>
        <w:rPr>
          <w:rFonts w:ascii="宋体" w:hAnsi="宋体"/>
          <w:b/>
          <w:bCs/>
          <w:sz w:val="24"/>
        </w:rPr>
      </w:pPr>
    </w:p>
    <w:p w14:paraId="797C58EF">
      <w:pPr>
        <w:rPr>
          <w:rFonts w:ascii="宋体" w:hAnsi="宋体"/>
          <w:b/>
          <w:bCs/>
          <w:sz w:val="24"/>
        </w:rPr>
      </w:pPr>
      <w:r>
        <w:rPr>
          <w:rFonts w:hint="eastAsia" w:ascii="宋体" w:hAnsi="宋体"/>
          <w:b/>
          <w:bCs/>
          <w:sz w:val="24"/>
        </w:rPr>
        <w:br w:type="page"/>
      </w:r>
    </w:p>
    <w:p w14:paraId="1FF520EE">
      <w:pPr>
        <w:spacing w:line="480" w:lineRule="exact"/>
        <w:jc w:val="center"/>
        <w:rPr>
          <w:rFonts w:ascii="宋体" w:hAnsi="宋体"/>
          <w:b/>
          <w:bCs/>
          <w:sz w:val="28"/>
          <w:szCs w:val="28"/>
        </w:rPr>
      </w:pPr>
      <w:r>
        <w:rPr>
          <w:rFonts w:hint="eastAsia" w:ascii="宋体" w:hAnsi="宋体"/>
          <w:b/>
          <w:bCs/>
          <w:sz w:val="28"/>
          <w:szCs w:val="28"/>
          <w:lang w:val="en-US" w:eastAsia="zh-CN"/>
        </w:rPr>
        <w:t>四</w:t>
      </w:r>
      <w:r>
        <w:rPr>
          <w:rFonts w:hint="eastAsia" w:ascii="宋体" w:hAnsi="宋体"/>
          <w:b/>
          <w:bCs/>
          <w:sz w:val="28"/>
          <w:szCs w:val="28"/>
        </w:rPr>
        <w:t>、法定代表人（单位负责人）授权书</w:t>
      </w:r>
    </w:p>
    <w:p w14:paraId="449E0CAD">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460561AA">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3923E0A3">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6BB8A219">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01AD2333">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71EB75A7">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25BCD9EA">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7A778275">
      <w:pPr>
        <w:pStyle w:val="34"/>
        <w:ind w:firstLine="480" w:firstLineChars="200"/>
      </w:pPr>
      <w:r>
        <w:rPr>
          <w:rFonts w:hint="eastAsia" w:hAnsi="Times New Roman"/>
          <w:szCs w:val="21"/>
        </w:rPr>
        <w:t>法定代表人（单位负责人）授权代表联系电话（手机）：</w:t>
      </w:r>
    </w:p>
    <w:tbl>
      <w:tblPr>
        <w:tblStyle w:val="13"/>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5283E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5E42472A">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294BC368">
            <w:pPr>
              <w:jc w:val="center"/>
              <w:rPr>
                <w:rFonts w:asciiTheme="minorEastAsia" w:hAnsiTheme="minorEastAsia"/>
                <w:sz w:val="24"/>
              </w:rPr>
            </w:pPr>
            <w:r>
              <w:rPr>
                <w:rFonts w:hint="eastAsia" w:asciiTheme="minorEastAsia" w:hAnsiTheme="minorEastAsia"/>
                <w:sz w:val="24"/>
              </w:rPr>
              <w:t>法定代表人（单位负责人）身份证（反面）</w:t>
            </w:r>
          </w:p>
        </w:tc>
      </w:tr>
      <w:tr w14:paraId="7293C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64709130">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47D4126D">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097AC3B6">
      <w:pPr>
        <w:rPr>
          <w:rFonts w:ascii="宋体" w:hAnsi="宋体"/>
          <w:b/>
          <w:bCs/>
          <w:color w:val="000000"/>
          <w:sz w:val="28"/>
        </w:rPr>
      </w:pPr>
      <w:r>
        <w:rPr>
          <w:rFonts w:hint="eastAsia" w:ascii="宋体" w:hAnsi="宋体"/>
          <w:b/>
          <w:bCs/>
          <w:color w:val="000000"/>
          <w:sz w:val="28"/>
        </w:rPr>
        <w:br w:type="page"/>
      </w:r>
    </w:p>
    <w:p w14:paraId="0F5D27E2">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lang w:val="en-US" w:eastAsia="zh-CN"/>
        </w:rPr>
        <w:t>五</w:t>
      </w:r>
      <w:r>
        <w:rPr>
          <w:rFonts w:hint="eastAsia" w:ascii="宋体" w:hAnsi="宋体"/>
          <w:b/>
          <w:bCs/>
          <w:color w:val="000000"/>
          <w:sz w:val="28"/>
        </w:rPr>
        <w:t>、投标承诺函</w:t>
      </w:r>
    </w:p>
    <w:p w14:paraId="0B78A1AF">
      <w:pPr>
        <w:autoSpaceDE w:val="0"/>
        <w:autoSpaceDN w:val="0"/>
        <w:snapToGrid w:val="0"/>
        <w:spacing w:line="360" w:lineRule="auto"/>
        <w:rPr>
          <w:rFonts w:ascii="宋体" w:hAnsi="宋体"/>
          <w:b/>
          <w:bCs/>
          <w:color w:val="000000"/>
          <w:sz w:val="24"/>
        </w:rPr>
      </w:pPr>
    </w:p>
    <w:p w14:paraId="2CD15554">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7299F5DC">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107F9C93">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75C1E5D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2145C59C">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1B185C4A">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074A68AE">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7F66B2DA">
      <w:pPr>
        <w:rPr>
          <w:color w:val="000000"/>
          <w:sz w:val="24"/>
          <w:u w:val="single"/>
        </w:rPr>
      </w:pPr>
    </w:p>
    <w:p w14:paraId="6E5D99F8">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62928A5F">
      <w:pPr>
        <w:autoSpaceDE w:val="0"/>
        <w:autoSpaceDN w:val="0"/>
        <w:adjustRightInd w:val="0"/>
        <w:spacing w:line="360" w:lineRule="auto"/>
        <w:ind w:right="-11"/>
        <w:rPr>
          <w:rFonts w:ascii="宋体" w:cs="宋体"/>
          <w:szCs w:val="21"/>
        </w:rPr>
      </w:pPr>
    </w:p>
    <w:p w14:paraId="12EAD18E">
      <w:pPr>
        <w:pStyle w:val="29"/>
        <w:rPr>
          <w:rFonts w:ascii="宋体" w:cs="宋体"/>
          <w:szCs w:val="21"/>
        </w:rPr>
      </w:pPr>
    </w:p>
    <w:p w14:paraId="079429B9">
      <w:pPr>
        <w:pStyle w:val="29"/>
        <w:rPr>
          <w:rFonts w:ascii="宋体" w:cs="宋体"/>
          <w:szCs w:val="21"/>
        </w:rPr>
      </w:pPr>
    </w:p>
    <w:p w14:paraId="502D739A">
      <w:pPr>
        <w:pStyle w:val="29"/>
        <w:rPr>
          <w:rFonts w:ascii="宋体" w:cs="宋体"/>
          <w:szCs w:val="21"/>
        </w:rPr>
      </w:pPr>
    </w:p>
    <w:p w14:paraId="1623EB6D">
      <w:pPr>
        <w:pStyle w:val="29"/>
        <w:rPr>
          <w:rFonts w:ascii="宋体" w:cs="宋体"/>
          <w:szCs w:val="21"/>
        </w:rPr>
      </w:pPr>
    </w:p>
    <w:p w14:paraId="62D48260">
      <w:pPr>
        <w:pStyle w:val="29"/>
        <w:rPr>
          <w:rFonts w:ascii="宋体" w:cs="宋体"/>
          <w:szCs w:val="21"/>
        </w:rPr>
      </w:pPr>
    </w:p>
    <w:p w14:paraId="28939201">
      <w:pPr>
        <w:pStyle w:val="29"/>
        <w:rPr>
          <w:rFonts w:ascii="宋体" w:cs="宋体"/>
          <w:szCs w:val="21"/>
        </w:rPr>
      </w:pPr>
    </w:p>
    <w:p w14:paraId="3EB9250B">
      <w:pPr>
        <w:pStyle w:val="29"/>
        <w:rPr>
          <w:rFonts w:ascii="宋体" w:cs="宋体"/>
          <w:szCs w:val="21"/>
        </w:rPr>
      </w:pPr>
    </w:p>
    <w:p w14:paraId="14D6293C">
      <w:pPr>
        <w:pStyle w:val="29"/>
        <w:rPr>
          <w:rFonts w:ascii="宋体" w:cs="宋体"/>
          <w:szCs w:val="21"/>
        </w:rPr>
      </w:pPr>
    </w:p>
    <w:p w14:paraId="298ED87B">
      <w:pPr>
        <w:pStyle w:val="29"/>
        <w:rPr>
          <w:rFonts w:ascii="宋体" w:cs="宋体"/>
          <w:szCs w:val="21"/>
        </w:rPr>
      </w:pPr>
    </w:p>
    <w:p w14:paraId="3FF1EC50">
      <w:pPr>
        <w:pStyle w:val="29"/>
        <w:rPr>
          <w:rFonts w:ascii="宋体" w:cs="宋体"/>
          <w:szCs w:val="21"/>
        </w:rPr>
      </w:pPr>
    </w:p>
    <w:p w14:paraId="1F4512C9">
      <w:pPr>
        <w:pStyle w:val="29"/>
        <w:rPr>
          <w:rFonts w:ascii="宋体" w:cs="宋体"/>
          <w:szCs w:val="21"/>
        </w:rPr>
      </w:pPr>
    </w:p>
    <w:p w14:paraId="1E4B0DFC">
      <w:pPr>
        <w:pStyle w:val="29"/>
        <w:rPr>
          <w:rFonts w:ascii="宋体" w:cs="宋体"/>
          <w:szCs w:val="21"/>
        </w:rPr>
      </w:pPr>
    </w:p>
    <w:p w14:paraId="0EE042D1">
      <w:pPr>
        <w:pStyle w:val="29"/>
        <w:rPr>
          <w:rFonts w:ascii="宋体" w:cs="宋体"/>
          <w:szCs w:val="21"/>
        </w:rPr>
      </w:pPr>
    </w:p>
    <w:p w14:paraId="658A55CE">
      <w:pPr>
        <w:pStyle w:val="29"/>
        <w:rPr>
          <w:rFonts w:ascii="宋体" w:cs="宋体"/>
          <w:szCs w:val="21"/>
        </w:rPr>
      </w:pPr>
    </w:p>
    <w:p w14:paraId="39F6B7E2">
      <w:pPr>
        <w:pStyle w:val="29"/>
        <w:rPr>
          <w:rFonts w:ascii="宋体" w:cs="宋体"/>
          <w:szCs w:val="21"/>
        </w:rPr>
      </w:pPr>
    </w:p>
    <w:p w14:paraId="680946B1">
      <w:pPr>
        <w:pStyle w:val="29"/>
        <w:rPr>
          <w:rFonts w:ascii="宋体" w:cs="宋体"/>
          <w:szCs w:val="21"/>
        </w:rPr>
      </w:pPr>
    </w:p>
    <w:p w14:paraId="19F788E0">
      <w:pPr>
        <w:pStyle w:val="29"/>
        <w:rPr>
          <w:rFonts w:ascii="宋体" w:cs="宋体"/>
          <w:szCs w:val="21"/>
        </w:rPr>
      </w:pPr>
    </w:p>
    <w:p w14:paraId="09A46BD1">
      <w:pPr>
        <w:pStyle w:val="29"/>
        <w:numPr>
          <w:ilvl w:val="0"/>
          <w:numId w:val="0"/>
        </w:numPr>
        <w:ind w:firstLine="562" w:firstLineChars="200"/>
        <w:jc w:val="center"/>
        <w:rPr>
          <w:rFonts w:ascii="宋体" w:cs="宋体"/>
          <w:b/>
          <w:bCs/>
          <w:sz w:val="28"/>
          <w:szCs w:val="28"/>
        </w:rPr>
      </w:pPr>
      <w:r>
        <w:rPr>
          <w:rFonts w:hint="eastAsia" w:ascii="宋体" w:cs="宋体"/>
          <w:b/>
          <w:bCs/>
          <w:kern w:val="2"/>
          <w:sz w:val="28"/>
          <w:szCs w:val="28"/>
          <w:lang w:val="en-US" w:eastAsia="zh-CN" w:bidi="ar-SA"/>
        </w:rPr>
        <w:t>六</w:t>
      </w:r>
      <w:r>
        <w:rPr>
          <w:rFonts w:hint="eastAsia" w:ascii="宋体" w:hAnsi="Calibri" w:eastAsia="宋体" w:cs="宋体"/>
          <w:b/>
          <w:bCs/>
          <w:kern w:val="2"/>
          <w:sz w:val="28"/>
          <w:szCs w:val="28"/>
          <w:lang w:val="en-US" w:eastAsia="zh-CN" w:bidi="ar-SA"/>
        </w:rPr>
        <w:t>、</w:t>
      </w:r>
      <w:r>
        <w:rPr>
          <w:rFonts w:hint="eastAsia" w:ascii="宋体" w:cs="宋体"/>
          <w:b/>
          <w:bCs/>
          <w:sz w:val="28"/>
          <w:szCs w:val="28"/>
        </w:rPr>
        <w:t>营业执照</w:t>
      </w:r>
    </w:p>
    <w:p w14:paraId="6F46C968">
      <w:pPr>
        <w:pStyle w:val="29"/>
        <w:ind w:firstLine="0" w:firstLineChars="0"/>
        <w:jc w:val="center"/>
        <w:rPr>
          <w:rFonts w:ascii="宋体" w:cs="宋体"/>
          <w:szCs w:val="21"/>
        </w:rPr>
      </w:pPr>
    </w:p>
    <w:p w14:paraId="7B393416">
      <w:pPr>
        <w:pStyle w:val="29"/>
        <w:ind w:firstLine="0" w:firstLineChars="0"/>
        <w:jc w:val="center"/>
        <w:rPr>
          <w:rFonts w:ascii="宋体" w:cs="宋体"/>
          <w:szCs w:val="21"/>
        </w:rPr>
      </w:pPr>
    </w:p>
    <w:p w14:paraId="0E50B84A">
      <w:pPr>
        <w:pStyle w:val="29"/>
        <w:ind w:firstLine="0" w:firstLineChars="0"/>
        <w:jc w:val="center"/>
        <w:rPr>
          <w:rFonts w:ascii="宋体" w:cs="宋体"/>
          <w:szCs w:val="21"/>
        </w:rPr>
      </w:pPr>
    </w:p>
    <w:p w14:paraId="26AC7E10">
      <w:pPr>
        <w:pStyle w:val="29"/>
        <w:ind w:firstLine="0" w:firstLineChars="0"/>
        <w:jc w:val="center"/>
        <w:rPr>
          <w:rFonts w:ascii="宋体" w:cs="宋体"/>
          <w:szCs w:val="21"/>
        </w:rPr>
      </w:pPr>
    </w:p>
    <w:p w14:paraId="602D6CB7">
      <w:pPr>
        <w:pStyle w:val="29"/>
        <w:ind w:firstLine="0" w:firstLineChars="0"/>
        <w:jc w:val="center"/>
        <w:rPr>
          <w:rFonts w:ascii="宋体" w:cs="宋体"/>
          <w:szCs w:val="21"/>
        </w:rPr>
      </w:pPr>
    </w:p>
    <w:p w14:paraId="0C248CA1">
      <w:pPr>
        <w:pStyle w:val="29"/>
        <w:ind w:firstLine="0" w:firstLineChars="0"/>
        <w:jc w:val="center"/>
        <w:rPr>
          <w:rFonts w:ascii="宋体" w:cs="宋体"/>
          <w:szCs w:val="21"/>
        </w:rPr>
      </w:pPr>
    </w:p>
    <w:p w14:paraId="0F6EACA0">
      <w:pPr>
        <w:pStyle w:val="29"/>
        <w:ind w:firstLine="0" w:firstLineChars="0"/>
        <w:jc w:val="center"/>
        <w:rPr>
          <w:rFonts w:ascii="宋体" w:cs="宋体"/>
          <w:szCs w:val="21"/>
        </w:rPr>
      </w:pPr>
    </w:p>
    <w:p w14:paraId="218D25FA">
      <w:pPr>
        <w:pStyle w:val="29"/>
        <w:ind w:firstLine="0" w:firstLineChars="0"/>
        <w:jc w:val="center"/>
        <w:rPr>
          <w:rFonts w:ascii="宋体" w:cs="宋体"/>
          <w:szCs w:val="21"/>
        </w:rPr>
      </w:pPr>
    </w:p>
    <w:p w14:paraId="3A35B885">
      <w:pPr>
        <w:pStyle w:val="29"/>
        <w:ind w:firstLine="0" w:firstLineChars="0"/>
        <w:jc w:val="center"/>
        <w:rPr>
          <w:rFonts w:ascii="宋体" w:cs="宋体"/>
          <w:szCs w:val="21"/>
        </w:rPr>
      </w:pPr>
    </w:p>
    <w:p w14:paraId="23AC3968">
      <w:pPr>
        <w:pStyle w:val="29"/>
        <w:ind w:firstLine="0" w:firstLineChars="0"/>
        <w:jc w:val="center"/>
        <w:rPr>
          <w:rFonts w:ascii="宋体" w:cs="宋体"/>
          <w:szCs w:val="21"/>
        </w:rPr>
      </w:pPr>
    </w:p>
    <w:p w14:paraId="75BAD134">
      <w:pPr>
        <w:pStyle w:val="29"/>
        <w:ind w:firstLine="0" w:firstLineChars="0"/>
        <w:jc w:val="center"/>
        <w:rPr>
          <w:rFonts w:ascii="宋体" w:cs="宋体"/>
          <w:szCs w:val="21"/>
        </w:rPr>
      </w:pPr>
    </w:p>
    <w:p w14:paraId="479832E6">
      <w:pPr>
        <w:pStyle w:val="29"/>
        <w:ind w:firstLine="0" w:firstLineChars="0"/>
        <w:jc w:val="center"/>
        <w:rPr>
          <w:rFonts w:ascii="宋体" w:cs="宋体"/>
          <w:szCs w:val="21"/>
        </w:rPr>
      </w:pPr>
    </w:p>
    <w:p w14:paraId="2CC8A78E">
      <w:pPr>
        <w:pStyle w:val="29"/>
        <w:ind w:firstLine="0" w:firstLineChars="0"/>
        <w:jc w:val="center"/>
        <w:rPr>
          <w:rFonts w:ascii="宋体" w:cs="宋体"/>
          <w:szCs w:val="21"/>
        </w:rPr>
      </w:pPr>
    </w:p>
    <w:p w14:paraId="002B7AB5">
      <w:pPr>
        <w:pStyle w:val="29"/>
        <w:ind w:firstLine="0" w:firstLineChars="0"/>
        <w:jc w:val="center"/>
        <w:rPr>
          <w:rFonts w:ascii="宋体" w:cs="宋体"/>
          <w:szCs w:val="21"/>
        </w:rPr>
      </w:pPr>
    </w:p>
    <w:p w14:paraId="5F6D6904">
      <w:pPr>
        <w:pStyle w:val="29"/>
        <w:ind w:firstLine="0" w:firstLineChars="0"/>
        <w:jc w:val="center"/>
        <w:rPr>
          <w:rFonts w:ascii="宋体" w:cs="宋体"/>
          <w:szCs w:val="21"/>
        </w:rPr>
      </w:pPr>
    </w:p>
    <w:p w14:paraId="30C3666D">
      <w:pPr>
        <w:pStyle w:val="29"/>
        <w:ind w:firstLine="0" w:firstLineChars="0"/>
        <w:jc w:val="center"/>
        <w:rPr>
          <w:rFonts w:ascii="宋体" w:cs="宋体"/>
          <w:szCs w:val="21"/>
        </w:rPr>
      </w:pPr>
    </w:p>
    <w:p w14:paraId="0C2265EF">
      <w:pPr>
        <w:pStyle w:val="29"/>
        <w:ind w:firstLine="0" w:firstLineChars="0"/>
        <w:jc w:val="center"/>
        <w:rPr>
          <w:rFonts w:ascii="宋体" w:cs="宋体"/>
          <w:szCs w:val="21"/>
        </w:rPr>
      </w:pPr>
    </w:p>
    <w:p w14:paraId="05BE17CF">
      <w:pPr>
        <w:pStyle w:val="29"/>
        <w:ind w:firstLine="0" w:firstLineChars="0"/>
        <w:jc w:val="center"/>
        <w:rPr>
          <w:rFonts w:ascii="宋体" w:cs="宋体"/>
          <w:szCs w:val="21"/>
        </w:rPr>
      </w:pPr>
    </w:p>
    <w:p w14:paraId="0F9072F6">
      <w:pPr>
        <w:pStyle w:val="29"/>
        <w:ind w:firstLine="0" w:firstLineChars="0"/>
        <w:jc w:val="center"/>
        <w:rPr>
          <w:rFonts w:ascii="宋体" w:cs="宋体"/>
          <w:szCs w:val="21"/>
        </w:rPr>
      </w:pPr>
    </w:p>
    <w:p w14:paraId="264526FB">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Ansi="宋体"/>
          <w:bCs/>
        </w:rPr>
        <w:t>复</w:t>
      </w:r>
      <w:r>
        <w:rPr>
          <w:rFonts w:hint="eastAsia" w:hAnsi="宋体"/>
          <w:bCs/>
        </w:rPr>
        <w:t>印件并盖公章】</w:t>
      </w:r>
    </w:p>
    <w:p w14:paraId="646F3998">
      <w:pPr>
        <w:pStyle w:val="29"/>
        <w:ind w:firstLine="0" w:firstLineChars="0"/>
        <w:jc w:val="center"/>
        <w:rPr>
          <w:rFonts w:ascii="宋体" w:cs="宋体"/>
          <w:szCs w:val="21"/>
        </w:rPr>
      </w:pPr>
    </w:p>
    <w:p w14:paraId="744FE5D2">
      <w:pPr>
        <w:pStyle w:val="29"/>
        <w:ind w:firstLine="0" w:firstLineChars="0"/>
        <w:jc w:val="center"/>
        <w:rPr>
          <w:rFonts w:ascii="宋体" w:cs="宋体"/>
          <w:szCs w:val="21"/>
        </w:rPr>
      </w:pPr>
    </w:p>
    <w:p w14:paraId="37F7021D">
      <w:pPr>
        <w:pStyle w:val="29"/>
        <w:ind w:firstLine="0" w:firstLineChars="0"/>
        <w:jc w:val="center"/>
        <w:rPr>
          <w:rFonts w:ascii="宋体" w:cs="宋体"/>
          <w:szCs w:val="21"/>
        </w:rPr>
      </w:pPr>
    </w:p>
    <w:p w14:paraId="3805D6D2">
      <w:pPr>
        <w:pStyle w:val="29"/>
        <w:ind w:firstLine="0" w:firstLineChars="0"/>
        <w:jc w:val="center"/>
        <w:rPr>
          <w:rFonts w:ascii="宋体" w:cs="宋体"/>
          <w:szCs w:val="21"/>
        </w:rPr>
      </w:pPr>
    </w:p>
    <w:p w14:paraId="00D08570">
      <w:pPr>
        <w:pStyle w:val="29"/>
        <w:ind w:firstLine="0" w:firstLineChars="0"/>
        <w:jc w:val="center"/>
        <w:rPr>
          <w:rFonts w:ascii="宋体" w:cs="宋体"/>
          <w:szCs w:val="21"/>
        </w:rPr>
      </w:pPr>
    </w:p>
    <w:p w14:paraId="4E99F69F">
      <w:pPr>
        <w:pStyle w:val="29"/>
        <w:ind w:firstLine="0" w:firstLineChars="0"/>
        <w:jc w:val="center"/>
        <w:rPr>
          <w:rFonts w:ascii="宋体" w:cs="宋体"/>
          <w:szCs w:val="21"/>
        </w:rPr>
      </w:pPr>
    </w:p>
    <w:p w14:paraId="6A3A8AEA">
      <w:pPr>
        <w:pStyle w:val="29"/>
        <w:ind w:firstLine="0" w:firstLineChars="0"/>
        <w:jc w:val="center"/>
        <w:rPr>
          <w:rFonts w:ascii="宋体" w:cs="宋体"/>
          <w:szCs w:val="21"/>
        </w:rPr>
      </w:pPr>
    </w:p>
    <w:p w14:paraId="37394D37">
      <w:pPr>
        <w:pStyle w:val="29"/>
        <w:ind w:firstLine="0" w:firstLineChars="0"/>
        <w:jc w:val="center"/>
        <w:rPr>
          <w:rFonts w:ascii="宋体" w:cs="宋体"/>
          <w:szCs w:val="21"/>
        </w:rPr>
      </w:pPr>
    </w:p>
    <w:p w14:paraId="35CE7189">
      <w:pPr>
        <w:pStyle w:val="29"/>
        <w:ind w:firstLine="0" w:firstLineChars="0"/>
        <w:jc w:val="center"/>
        <w:rPr>
          <w:rFonts w:ascii="宋体" w:cs="宋体"/>
          <w:szCs w:val="21"/>
        </w:rPr>
      </w:pPr>
    </w:p>
    <w:p w14:paraId="7D718559">
      <w:pPr>
        <w:pStyle w:val="29"/>
        <w:ind w:firstLine="0" w:firstLineChars="0"/>
        <w:jc w:val="center"/>
        <w:rPr>
          <w:rFonts w:ascii="宋体" w:cs="宋体"/>
          <w:szCs w:val="21"/>
        </w:rPr>
      </w:pPr>
    </w:p>
    <w:p w14:paraId="07CC2DD8">
      <w:pPr>
        <w:pStyle w:val="29"/>
        <w:ind w:firstLine="0" w:firstLineChars="0"/>
        <w:jc w:val="center"/>
        <w:rPr>
          <w:rFonts w:ascii="宋体" w:cs="宋体"/>
          <w:szCs w:val="21"/>
        </w:rPr>
      </w:pPr>
    </w:p>
    <w:p w14:paraId="0E2F7A53">
      <w:pPr>
        <w:pStyle w:val="29"/>
        <w:ind w:firstLine="0" w:firstLineChars="0"/>
        <w:jc w:val="center"/>
        <w:rPr>
          <w:rFonts w:ascii="宋体" w:cs="宋体"/>
          <w:szCs w:val="21"/>
        </w:rPr>
      </w:pPr>
    </w:p>
    <w:p w14:paraId="2CCFE12E">
      <w:pPr>
        <w:pStyle w:val="29"/>
        <w:ind w:firstLine="0" w:firstLineChars="0"/>
        <w:jc w:val="center"/>
        <w:rPr>
          <w:rFonts w:ascii="宋体" w:cs="宋体"/>
          <w:szCs w:val="21"/>
        </w:rPr>
      </w:pPr>
    </w:p>
    <w:p w14:paraId="6573B87F">
      <w:pPr>
        <w:pStyle w:val="29"/>
        <w:ind w:firstLine="0" w:firstLineChars="0"/>
        <w:jc w:val="center"/>
        <w:rPr>
          <w:rFonts w:ascii="宋体" w:cs="宋体"/>
          <w:szCs w:val="21"/>
        </w:rPr>
      </w:pPr>
    </w:p>
    <w:p w14:paraId="53A13BC7">
      <w:pPr>
        <w:pStyle w:val="29"/>
        <w:ind w:firstLine="0" w:firstLineChars="0"/>
        <w:jc w:val="center"/>
        <w:rPr>
          <w:rFonts w:ascii="宋体" w:cs="宋体"/>
          <w:szCs w:val="21"/>
        </w:rPr>
      </w:pPr>
    </w:p>
    <w:p w14:paraId="442F716C">
      <w:pPr>
        <w:pStyle w:val="29"/>
        <w:ind w:firstLine="0" w:firstLineChars="0"/>
        <w:jc w:val="center"/>
        <w:rPr>
          <w:rFonts w:ascii="宋体" w:cs="宋体"/>
          <w:szCs w:val="21"/>
        </w:rPr>
      </w:pPr>
    </w:p>
    <w:p w14:paraId="5C382FB0">
      <w:pPr>
        <w:pStyle w:val="29"/>
        <w:ind w:firstLine="0" w:firstLineChars="0"/>
        <w:jc w:val="center"/>
        <w:rPr>
          <w:rFonts w:ascii="宋体" w:cs="宋体"/>
          <w:szCs w:val="21"/>
        </w:rPr>
      </w:pPr>
    </w:p>
    <w:p w14:paraId="4D8F1B8A">
      <w:pPr>
        <w:pStyle w:val="29"/>
        <w:ind w:firstLine="0" w:firstLineChars="0"/>
        <w:jc w:val="center"/>
        <w:rPr>
          <w:rFonts w:ascii="宋体" w:cs="宋体"/>
          <w:szCs w:val="21"/>
        </w:rPr>
      </w:pPr>
    </w:p>
    <w:p w14:paraId="06AC1A56">
      <w:pPr>
        <w:pStyle w:val="29"/>
        <w:ind w:firstLine="0" w:firstLineChars="0"/>
        <w:jc w:val="center"/>
        <w:rPr>
          <w:rFonts w:ascii="宋体" w:cs="宋体"/>
          <w:szCs w:val="21"/>
        </w:rPr>
      </w:pPr>
    </w:p>
    <w:p w14:paraId="16D428DE">
      <w:pPr>
        <w:pStyle w:val="29"/>
        <w:ind w:firstLine="0" w:firstLineChars="0"/>
        <w:jc w:val="center"/>
        <w:rPr>
          <w:rFonts w:ascii="宋体" w:cs="宋体"/>
          <w:szCs w:val="21"/>
        </w:rPr>
      </w:pPr>
    </w:p>
    <w:p w14:paraId="6AF1DF88">
      <w:pPr>
        <w:pStyle w:val="29"/>
        <w:ind w:firstLine="0" w:firstLineChars="0"/>
        <w:jc w:val="center"/>
        <w:rPr>
          <w:rFonts w:ascii="宋体" w:cs="宋体"/>
          <w:szCs w:val="21"/>
        </w:rPr>
      </w:pPr>
    </w:p>
    <w:p w14:paraId="7FC5DDA4">
      <w:pPr>
        <w:pStyle w:val="29"/>
        <w:ind w:firstLine="0" w:firstLineChars="0"/>
        <w:jc w:val="center"/>
        <w:rPr>
          <w:rFonts w:ascii="宋体" w:cs="宋体"/>
          <w:szCs w:val="21"/>
        </w:rPr>
      </w:pPr>
    </w:p>
    <w:p w14:paraId="333B4345">
      <w:pPr>
        <w:pStyle w:val="29"/>
        <w:numPr>
          <w:ilvl w:val="0"/>
          <w:numId w:val="2"/>
        </w:numPr>
        <w:ind w:firstLine="0" w:firstLineChars="0"/>
        <w:jc w:val="center"/>
        <w:rPr>
          <w:rFonts w:hint="eastAsia" w:ascii="宋体" w:cs="宋体"/>
          <w:b/>
          <w:bCs/>
          <w:sz w:val="28"/>
          <w:szCs w:val="28"/>
          <w:lang w:val="en-US" w:eastAsia="zh-CN"/>
        </w:rPr>
      </w:pPr>
      <w:r>
        <w:rPr>
          <w:rFonts w:hint="eastAsia" w:ascii="宋体" w:cs="宋体"/>
          <w:b/>
          <w:bCs/>
          <w:sz w:val="28"/>
          <w:szCs w:val="28"/>
        </w:rPr>
        <w:t>中华人民共和国特种设备生产许可证</w:t>
      </w:r>
    </w:p>
    <w:p w14:paraId="656FA0C9">
      <w:pPr>
        <w:pStyle w:val="29"/>
        <w:ind w:firstLine="0" w:firstLineChars="0"/>
        <w:jc w:val="center"/>
        <w:rPr>
          <w:rFonts w:ascii="宋体" w:cs="宋体"/>
          <w:b/>
          <w:bCs/>
          <w:sz w:val="28"/>
          <w:szCs w:val="28"/>
        </w:rPr>
      </w:pPr>
      <w:r>
        <w:rPr>
          <w:rFonts w:hint="eastAsia" w:ascii="宋体" w:cs="宋体"/>
          <w:b/>
          <w:bCs/>
          <w:sz w:val="28"/>
          <w:szCs w:val="28"/>
        </w:rPr>
        <w:t>许可项目为电梯安装（含修理）</w:t>
      </w:r>
    </w:p>
    <w:p w14:paraId="608CE5C9">
      <w:pPr>
        <w:pStyle w:val="29"/>
        <w:ind w:firstLine="0" w:firstLineChars="0"/>
        <w:jc w:val="center"/>
        <w:rPr>
          <w:rFonts w:ascii="宋体" w:cs="宋体"/>
          <w:szCs w:val="21"/>
        </w:rPr>
      </w:pPr>
    </w:p>
    <w:p w14:paraId="2D23DCB3">
      <w:pPr>
        <w:pStyle w:val="29"/>
        <w:ind w:firstLine="0" w:firstLineChars="0"/>
        <w:jc w:val="center"/>
        <w:rPr>
          <w:rFonts w:ascii="宋体" w:cs="宋体"/>
          <w:szCs w:val="21"/>
        </w:rPr>
      </w:pPr>
    </w:p>
    <w:p w14:paraId="233765B8">
      <w:pPr>
        <w:pStyle w:val="29"/>
        <w:ind w:firstLine="0" w:firstLineChars="0"/>
        <w:jc w:val="center"/>
        <w:rPr>
          <w:rFonts w:ascii="宋体" w:cs="宋体"/>
          <w:szCs w:val="21"/>
        </w:rPr>
      </w:pPr>
    </w:p>
    <w:p w14:paraId="68C19569">
      <w:pPr>
        <w:pStyle w:val="29"/>
        <w:ind w:firstLine="0" w:firstLineChars="0"/>
        <w:jc w:val="center"/>
        <w:rPr>
          <w:rFonts w:ascii="宋体" w:cs="宋体"/>
          <w:szCs w:val="21"/>
        </w:rPr>
      </w:pPr>
    </w:p>
    <w:p w14:paraId="2C75A614">
      <w:pPr>
        <w:pStyle w:val="29"/>
        <w:ind w:firstLine="0" w:firstLineChars="0"/>
        <w:jc w:val="center"/>
        <w:rPr>
          <w:rFonts w:ascii="宋体" w:cs="宋体"/>
          <w:szCs w:val="21"/>
        </w:rPr>
      </w:pPr>
    </w:p>
    <w:p w14:paraId="19DAE100">
      <w:pPr>
        <w:pStyle w:val="29"/>
        <w:ind w:firstLine="0" w:firstLineChars="0"/>
        <w:jc w:val="center"/>
        <w:rPr>
          <w:rFonts w:ascii="宋体" w:cs="宋体"/>
          <w:szCs w:val="21"/>
        </w:rPr>
      </w:pPr>
    </w:p>
    <w:p w14:paraId="2EABAE6D">
      <w:pPr>
        <w:pStyle w:val="29"/>
        <w:ind w:firstLine="0" w:firstLineChars="0"/>
        <w:jc w:val="center"/>
        <w:rPr>
          <w:rFonts w:ascii="宋体" w:cs="宋体"/>
          <w:szCs w:val="21"/>
        </w:rPr>
      </w:pPr>
    </w:p>
    <w:p w14:paraId="6B2106B7">
      <w:pPr>
        <w:pStyle w:val="29"/>
        <w:ind w:firstLine="0" w:firstLineChars="0"/>
        <w:jc w:val="center"/>
        <w:rPr>
          <w:rFonts w:ascii="宋体" w:cs="宋体"/>
          <w:szCs w:val="21"/>
        </w:rPr>
      </w:pPr>
    </w:p>
    <w:p w14:paraId="3524DAC1">
      <w:pPr>
        <w:pStyle w:val="29"/>
        <w:ind w:firstLine="0" w:firstLineChars="0"/>
        <w:jc w:val="center"/>
        <w:rPr>
          <w:rFonts w:ascii="宋体" w:cs="宋体"/>
          <w:szCs w:val="21"/>
        </w:rPr>
      </w:pPr>
    </w:p>
    <w:p w14:paraId="6397CD9F">
      <w:pPr>
        <w:pStyle w:val="29"/>
        <w:ind w:firstLine="0" w:firstLineChars="0"/>
        <w:jc w:val="center"/>
        <w:rPr>
          <w:rFonts w:ascii="宋体" w:cs="宋体"/>
          <w:szCs w:val="21"/>
        </w:rPr>
      </w:pPr>
    </w:p>
    <w:p w14:paraId="07C96D15">
      <w:pPr>
        <w:pStyle w:val="29"/>
        <w:ind w:firstLine="0" w:firstLineChars="0"/>
        <w:jc w:val="center"/>
        <w:rPr>
          <w:rFonts w:ascii="宋体" w:cs="宋体"/>
          <w:szCs w:val="21"/>
        </w:rPr>
      </w:pPr>
    </w:p>
    <w:p w14:paraId="689E951A">
      <w:pPr>
        <w:pStyle w:val="29"/>
        <w:ind w:firstLine="0" w:firstLineChars="0"/>
        <w:jc w:val="center"/>
        <w:rPr>
          <w:rFonts w:ascii="宋体" w:cs="宋体"/>
          <w:szCs w:val="21"/>
        </w:rPr>
      </w:pPr>
    </w:p>
    <w:p w14:paraId="199CFEC9">
      <w:pPr>
        <w:pStyle w:val="29"/>
        <w:ind w:firstLine="0" w:firstLineChars="0"/>
        <w:jc w:val="center"/>
        <w:rPr>
          <w:rFonts w:ascii="宋体" w:cs="宋体"/>
          <w:szCs w:val="21"/>
        </w:rPr>
      </w:pPr>
    </w:p>
    <w:p w14:paraId="50B012E7">
      <w:pPr>
        <w:pStyle w:val="29"/>
        <w:ind w:firstLine="0" w:firstLineChars="0"/>
        <w:jc w:val="center"/>
        <w:rPr>
          <w:rFonts w:ascii="宋体" w:cs="宋体"/>
          <w:szCs w:val="21"/>
        </w:rPr>
      </w:pPr>
    </w:p>
    <w:p w14:paraId="65B55945">
      <w:pPr>
        <w:pStyle w:val="29"/>
        <w:ind w:firstLine="0" w:firstLineChars="0"/>
        <w:jc w:val="center"/>
        <w:rPr>
          <w:rFonts w:ascii="宋体" w:cs="宋体"/>
          <w:szCs w:val="21"/>
        </w:rPr>
      </w:pPr>
    </w:p>
    <w:p w14:paraId="2C2FD4DE">
      <w:pPr>
        <w:pStyle w:val="29"/>
        <w:ind w:firstLine="0" w:firstLineChars="0"/>
        <w:jc w:val="center"/>
        <w:rPr>
          <w:rFonts w:ascii="宋体" w:cs="宋体"/>
          <w:szCs w:val="21"/>
        </w:rPr>
      </w:pPr>
    </w:p>
    <w:p w14:paraId="32B3D61C">
      <w:pPr>
        <w:pStyle w:val="29"/>
        <w:ind w:firstLine="0" w:firstLineChars="0"/>
        <w:jc w:val="center"/>
        <w:rPr>
          <w:rFonts w:ascii="宋体" w:cs="宋体"/>
          <w:szCs w:val="21"/>
        </w:rPr>
      </w:pPr>
    </w:p>
    <w:p w14:paraId="51435F9B">
      <w:pPr>
        <w:pStyle w:val="29"/>
        <w:ind w:firstLine="0" w:firstLineChars="0"/>
        <w:jc w:val="center"/>
        <w:rPr>
          <w:rFonts w:ascii="宋体" w:cs="宋体"/>
          <w:szCs w:val="21"/>
        </w:rPr>
      </w:pPr>
    </w:p>
    <w:p w14:paraId="4E63863C">
      <w:pPr>
        <w:pStyle w:val="29"/>
        <w:ind w:firstLine="0" w:firstLineChars="0"/>
        <w:jc w:val="center"/>
        <w:rPr>
          <w:rFonts w:ascii="宋体" w:cs="宋体"/>
          <w:szCs w:val="21"/>
        </w:rPr>
      </w:pPr>
    </w:p>
    <w:p w14:paraId="1881F1F5">
      <w:pPr>
        <w:pStyle w:val="29"/>
        <w:ind w:firstLine="0" w:firstLineChars="0"/>
        <w:jc w:val="center"/>
        <w:rPr>
          <w:rFonts w:ascii="宋体" w:cs="宋体"/>
          <w:szCs w:val="21"/>
        </w:rPr>
      </w:pPr>
    </w:p>
    <w:p w14:paraId="515B43B8">
      <w:pPr>
        <w:pStyle w:val="29"/>
        <w:ind w:firstLine="0" w:firstLineChars="0"/>
        <w:jc w:val="center"/>
        <w:rPr>
          <w:rFonts w:ascii="宋体" w:cs="宋体"/>
          <w:szCs w:val="21"/>
        </w:rPr>
      </w:pPr>
    </w:p>
    <w:p w14:paraId="38DAD1AA">
      <w:pPr>
        <w:pStyle w:val="29"/>
        <w:ind w:firstLine="0" w:firstLineChars="0"/>
        <w:jc w:val="center"/>
        <w:rPr>
          <w:rFonts w:ascii="宋体" w:cs="宋体"/>
          <w:szCs w:val="21"/>
        </w:rPr>
      </w:pPr>
    </w:p>
    <w:p w14:paraId="1B2067A4">
      <w:pPr>
        <w:pStyle w:val="29"/>
        <w:ind w:firstLine="0" w:firstLineChars="0"/>
        <w:jc w:val="center"/>
        <w:rPr>
          <w:rFonts w:ascii="宋体" w:cs="宋体"/>
          <w:szCs w:val="21"/>
        </w:rPr>
      </w:pPr>
    </w:p>
    <w:p w14:paraId="09DE51B7">
      <w:pPr>
        <w:pStyle w:val="29"/>
        <w:ind w:firstLine="0" w:firstLineChars="0"/>
        <w:jc w:val="center"/>
        <w:rPr>
          <w:rFonts w:ascii="宋体" w:cs="宋体"/>
          <w:szCs w:val="21"/>
        </w:rPr>
      </w:pPr>
    </w:p>
    <w:p w14:paraId="5CCAB4A7">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w:t>
      </w:r>
      <w:r>
        <w:rPr>
          <w:rFonts w:hint="eastAsia" w:hAnsi="宋体"/>
          <w:bCs/>
          <w:lang w:val="en-US" w:eastAsia="zh-CN"/>
        </w:rPr>
        <w:t>证书</w:t>
      </w:r>
      <w:r>
        <w:rPr>
          <w:rFonts w:hAnsi="宋体"/>
          <w:bCs/>
        </w:rPr>
        <w:t>复</w:t>
      </w:r>
      <w:r>
        <w:rPr>
          <w:rFonts w:hint="eastAsia" w:hAnsi="宋体"/>
          <w:bCs/>
        </w:rPr>
        <w:t>印件并盖公章】</w:t>
      </w:r>
    </w:p>
    <w:p w14:paraId="54A845BB">
      <w:pPr>
        <w:pStyle w:val="29"/>
        <w:ind w:firstLine="0" w:firstLineChars="0"/>
        <w:jc w:val="center"/>
        <w:rPr>
          <w:rFonts w:ascii="宋体" w:cs="宋体"/>
          <w:szCs w:val="21"/>
        </w:rPr>
      </w:pPr>
    </w:p>
    <w:sectPr>
      <w:footerReference r:id="rId3" w:type="default"/>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52A43">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D836A7">
                          <w:pPr>
                            <w:pStyle w:val="8"/>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D836A7">
                    <w:pPr>
                      <w:pStyle w:val="8"/>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B625A9"/>
    <w:multiLevelType w:val="singleLevel"/>
    <w:tmpl w:val="90B625A9"/>
    <w:lvl w:ilvl="0" w:tentative="0">
      <w:start w:val="7"/>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5OGRjMDI2ZWMzMmVlYTg0YTFmMjFkNjkyOGRiZDM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3976170"/>
    <w:rsid w:val="03B34D8A"/>
    <w:rsid w:val="03D348AC"/>
    <w:rsid w:val="04026F36"/>
    <w:rsid w:val="0419413A"/>
    <w:rsid w:val="04320219"/>
    <w:rsid w:val="045D4134"/>
    <w:rsid w:val="04A101A3"/>
    <w:rsid w:val="04C1540A"/>
    <w:rsid w:val="05760640"/>
    <w:rsid w:val="061E4834"/>
    <w:rsid w:val="06471FDD"/>
    <w:rsid w:val="0767229E"/>
    <w:rsid w:val="07B11460"/>
    <w:rsid w:val="07B76CEE"/>
    <w:rsid w:val="07E43A81"/>
    <w:rsid w:val="07F901A3"/>
    <w:rsid w:val="084A0EA6"/>
    <w:rsid w:val="0869623A"/>
    <w:rsid w:val="08A24CBB"/>
    <w:rsid w:val="098C48BA"/>
    <w:rsid w:val="0A2C3C45"/>
    <w:rsid w:val="0A8E1F88"/>
    <w:rsid w:val="0AAB1104"/>
    <w:rsid w:val="0AAC68B2"/>
    <w:rsid w:val="0B0B35D9"/>
    <w:rsid w:val="0B555CEB"/>
    <w:rsid w:val="0BB305CD"/>
    <w:rsid w:val="0C6701FD"/>
    <w:rsid w:val="0DF2626F"/>
    <w:rsid w:val="0E5A1497"/>
    <w:rsid w:val="0E8D2557"/>
    <w:rsid w:val="0ED2440E"/>
    <w:rsid w:val="0EEB1D0A"/>
    <w:rsid w:val="10C7166C"/>
    <w:rsid w:val="10E074DB"/>
    <w:rsid w:val="134F4C56"/>
    <w:rsid w:val="13FA68E0"/>
    <w:rsid w:val="14382F65"/>
    <w:rsid w:val="146D5582"/>
    <w:rsid w:val="14836404"/>
    <w:rsid w:val="14BC5944"/>
    <w:rsid w:val="15CB7091"/>
    <w:rsid w:val="16132A43"/>
    <w:rsid w:val="168B2E32"/>
    <w:rsid w:val="16A91EF8"/>
    <w:rsid w:val="170B5F46"/>
    <w:rsid w:val="17163A31"/>
    <w:rsid w:val="17295B12"/>
    <w:rsid w:val="173D4205"/>
    <w:rsid w:val="1762400A"/>
    <w:rsid w:val="178C784F"/>
    <w:rsid w:val="17936E30"/>
    <w:rsid w:val="17DE3E23"/>
    <w:rsid w:val="180B1D8E"/>
    <w:rsid w:val="1824217E"/>
    <w:rsid w:val="182643EE"/>
    <w:rsid w:val="18E436BB"/>
    <w:rsid w:val="19127B31"/>
    <w:rsid w:val="19A266CB"/>
    <w:rsid w:val="1A4127AD"/>
    <w:rsid w:val="1BB76AC9"/>
    <w:rsid w:val="1BF946E9"/>
    <w:rsid w:val="1C1442B7"/>
    <w:rsid w:val="1DC8593B"/>
    <w:rsid w:val="1DD07851"/>
    <w:rsid w:val="1DF22493"/>
    <w:rsid w:val="1EA77665"/>
    <w:rsid w:val="1F221187"/>
    <w:rsid w:val="1F303B22"/>
    <w:rsid w:val="1F540DDE"/>
    <w:rsid w:val="1FED72F9"/>
    <w:rsid w:val="21566699"/>
    <w:rsid w:val="215C0A7C"/>
    <w:rsid w:val="22636EE2"/>
    <w:rsid w:val="22981942"/>
    <w:rsid w:val="22CB6CB0"/>
    <w:rsid w:val="22FC1980"/>
    <w:rsid w:val="23280599"/>
    <w:rsid w:val="23780CBF"/>
    <w:rsid w:val="23A26978"/>
    <w:rsid w:val="24C4749D"/>
    <w:rsid w:val="24DA152F"/>
    <w:rsid w:val="251610A0"/>
    <w:rsid w:val="2520484D"/>
    <w:rsid w:val="25384AFE"/>
    <w:rsid w:val="25AE20BB"/>
    <w:rsid w:val="25C21D25"/>
    <w:rsid w:val="2603796E"/>
    <w:rsid w:val="26093577"/>
    <w:rsid w:val="26BF53D0"/>
    <w:rsid w:val="27FE4556"/>
    <w:rsid w:val="2879797C"/>
    <w:rsid w:val="29284B1D"/>
    <w:rsid w:val="294C5571"/>
    <w:rsid w:val="2A495A74"/>
    <w:rsid w:val="2AB20E6B"/>
    <w:rsid w:val="2B0471A2"/>
    <w:rsid w:val="2B8430AF"/>
    <w:rsid w:val="2BA47406"/>
    <w:rsid w:val="2C0E7C49"/>
    <w:rsid w:val="2CE33F5E"/>
    <w:rsid w:val="2CE35D0C"/>
    <w:rsid w:val="2D870D8D"/>
    <w:rsid w:val="2DB63777"/>
    <w:rsid w:val="2DDD0FD4"/>
    <w:rsid w:val="2DFB0E33"/>
    <w:rsid w:val="2E03208E"/>
    <w:rsid w:val="2E78040C"/>
    <w:rsid w:val="2EE04EF4"/>
    <w:rsid w:val="2F9B0B20"/>
    <w:rsid w:val="303C2C58"/>
    <w:rsid w:val="30D8545C"/>
    <w:rsid w:val="32480586"/>
    <w:rsid w:val="32FA33E2"/>
    <w:rsid w:val="33270FFF"/>
    <w:rsid w:val="3381154C"/>
    <w:rsid w:val="33D71052"/>
    <w:rsid w:val="36B70340"/>
    <w:rsid w:val="376C500E"/>
    <w:rsid w:val="391F631E"/>
    <w:rsid w:val="397C1C5A"/>
    <w:rsid w:val="399552B8"/>
    <w:rsid w:val="399F50E1"/>
    <w:rsid w:val="39F42EB7"/>
    <w:rsid w:val="39F71049"/>
    <w:rsid w:val="3A094EC7"/>
    <w:rsid w:val="3A5F5F6F"/>
    <w:rsid w:val="3B3059DF"/>
    <w:rsid w:val="3BB34390"/>
    <w:rsid w:val="3BD038FF"/>
    <w:rsid w:val="3BD83E3D"/>
    <w:rsid w:val="3BE948B2"/>
    <w:rsid w:val="3DE43692"/>
    <w:rsid w:val="3E5D3A3D"/>
    <w:rsid w:val="3E88700E"/>
    <w:rsid w:val="3EAD09F5"/>
    <w:rsid w:val="3FCE5FBC"/>
    <w:rsid w:val="3FEA4CFC"/>
    <w:rsid w:val="40051BF8"/>
    <w:rsid w:val="400D10B2"/>
    <w:rsid w:val="405E3BCF"/>
    <w:rsid w:val="407055D6"/>
    <w:rsid w:val="411E510D"/>
    <w:rsid w:val="412038E9"/>
    <w:rsid w:val="41D37AFA"/>
    <w:rsid w:val="42484966"/>
    <w:rsid w:val="426B25D4"/>
    <w:rsid w:val="42703746"/>
    <w:rsid w:val="42B519E9"/>
    <w:rsid w:val="42C6151D"/>
    <w:rsid w:val="43A442C6"/>
    <w:rsid w:val="43D91523"/>
    <w:rsid w:val="43F73885"/>
    <w:rsid w:val="44085352"/>
    <w:rsid w:val="4561628F"/>
    <w:rsid w:val="45B94D73"/>
    <w:rsid w:val="46BB7E19"/>
    <w:rsid w:val="46D0453B"/>
    <w:rsid w:val="46E44703"/>
    <w:rsid w:val="48393F29"/>
    <w:rsid w:val="48517B76"/>
    <w:rsid w:val="48710218"/>
    <w:rsid w:val="48E13021"/>
    <w:rsid w:val="49382AE4"/>
    <w:rsid w:val="49917942"/>
    <w:rsid w:val="49EB6F4A"/>
    <w:rsid w:val="4ADA55B0"/>
    <w:rsid w:val="4B091138"/>
    <w:rsid w:val="4B1D0463"/>
    <w:rsid w:val="4B6B3D7C"/>
    <w:rsid w:val="4B6C26CB"/>
    <w:rsid w:val="4BAB1C93"/>
    <w:rsid w:val="4C6D0D60"/>
    <w:rsid w:val="4CCE2312"/>
    <w:rsid w:val="4CEF2724"/>
    <w:rsid w:val="4D8B1D7C"/>
    <w:rsid w:val="4DA77104"/>
    <w:rsid w:val="4F09428B"/>
    <w:rsid w:val="4FDD0E7B"/>
    <w:rsid w:val="4FE13ED5"/>
    <w:rsid w:val="509318E3"/>
    <w:rsid w:val="50BB187B"/>
    <w:rsid w:val="50E25DFE"/>
    <w:rsid w:val="51E011C4"/>
    <w:rsid w:val="530E3B10"/>
    <w:rsid w:val="535449BE"/>
    <w:rsid w:val="537D1635"/>
    <w:rsid w:val="53BB0720"/>
    <w:rsid w:val="53DA1367"/>
    <w:rsid w:val="54D779D8"/>
    <w:rsid w:val="55794DCA"/>
    <w:rsid w:val="559700CD"/>
    <w:rsid w:val="55B20DA6"/>
    <w:rsid w:val="55B5014F"/>
    <w:rsid w:val="55D83684"/>
    <w:rsid w:val="578A0EF5"/>
    <w:rsid w:val="586631C9"/>
    <w:rsid w:val="59B408F1"/>
    <w:rsid w:val="5A0C50C2"/>
    <w:rsid w:val="5AEA4594"/>
    <w:rsid w:val="5B0E5D3C"/>
    <w:rsid w:val="5C9D16DC"/>
    <w:rsid w:val="5CA50038"/>
    <w:rsid w:val="5CB305FC"/>
    <w:rsid w:val="5D2378DB"/>
    <w:rsid w:val="5DA56542"/>
    <w:rsid w:val="5E585F2B"/>
    <w:rsid w:val="5E983F45"/>
    <w:rsid w:val="5EA13181"/>
    <w:rsid w:val="5ED27B19"/>
    <w:rsid w:val="614B4DF2"/>
    <w:rsid w:val="61903065"/>
    <w:rsid w:val="624B638D"/>
    <w:rsid w:val="626A3C89"/>
    <w:rsid w:val="62733632"/>
    <w:rsid w:val="62A9228E"/>
    <w:rsid w:val="632C4DC5"/>
    <w:rsid w:val="63A12BF9"/>
    <w:rsid w:val="641066DF"/>
    <w:rsid w:val="643D7EDA"/>
    <w:rsid w:val="64460353"/>
    <w:rsid w:val="64574D7B"/>
    <w:rsid w:val="669E0C34"/>
    <w:rsid w:val="66C52E88"/>
    <w:rsid w:val="66D76745"/>
    <w:rsid w:val="66E30DC8"/>
    <w:rsid w:val="67DC060F"/>
    <w:rsid w:val="69DD7064"/>
    <w:rsid w:val="6A0D758C"/>
    <w:rsid w:val="6A5A065B"/>
    <w:rsid w:val="6A655A1D"/>
    <w:rsid w:val="6AC95EDC"/>
    <w:rsid w:val="6B056872"/>
    <w:rsid w:val="6B1C5B5B"/>
    <w:rsid w:val="6B74334D"/>
    <w:rsid w:val="6C156E9B"/>
    <w:rsid w:val="6CE838C6"/>
    <w:rsid w:val="6D09406B"/>
    <w:rsid w:val="6DC7479F"/>
    <w:rsid w:val="6E526003"/>
    <w:rsid w:val="6E755ABD"/>
    <w:rsid w:val="6E942999"/>
    <w:rsid w:val="6F0A731D"/>
    <w:rsid w:val="705B5C66"/>
    <w:rsid w:val="7096451F"/>
    <w:rsid w:val="71A04BC0"/>
    <w:rsid w:val="71B115E4"/>
    <w:rsid w:val="724A0B58"/>
    <w:rsid w:val="727238ED"/>
    <w:rsid w:val="728C1627"/>
    <w:rsid w:val="72D05810"/>
    <w:rsid w:val="73041B05"/>
    <w:rsid w:val="737A29C8"/>
    <w:rsid w:val="737C7D3B"/>
    <w:rsid w:val="73C65172"/>
    <w:rsid w:val="740C2D72"/>
    <w:rsid w:val="74244C1C"/>
    <w:rsid w:val="74A64302"/>
    <w:rsid w:val="74DB35C2"/>
    <w:rsid w:val="74E569A0"/>
    <w:rsid w:val="750C27BD"/>
    <w:rsid w:val="75584146"/>
    <w:rsid w:val="75C86E1A"/>
    <w:rsid w:val="75EB6560"/>
    <w:rsid w:val="76375D4D"/>
    <w:rsid w:val="76AA2A57"/>
    <w:rsid w:val="76FD4590"/>
    <w:rsid w:val="77070231"/>
    <w:rsid w:val="77476464"/>
    <w:rsid w:val="77B462F6"/>
    <w:rsid w:val="78CE0040"/>
    <w:rsid w:val="78E8666B"/>
    <w:rsid w:val="78F148D9"/>
    <w:rsid w:val="796919FF"/>
    <w:rsid w:val="79C83610"/>
    <w:rsid w:val="7A340F22"/>
    <w:rsid w:val="7A6535D9"/>
    <w:rsid w:val="7A674B56"/>
    <w:rsid w:val="7A801A82"/>
    <w:rsid w:val="7B0E55E8"/>
    <w:rsid w:val="7B17735B"/>
    <w:rsid w:val="7B356567"/>
    <w:rsid w:val="7B4E6013"/>
    <w:rsid w:val="7B6D1699"/>
    <w:rsid w:val="7B963293"/>
    <w:rsid w:val="7BA23801"/>
    <w:rsid w:val="7C4902F7"/>
    <w:rsid w:val="7D7653AD"/>
    <w:rsid w:val="7DFF7A00"/>
    <w:rsid w:val="7E9E2AFA"/>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3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7"/>
    <w:qFormat/>
    <w:uiPriority w:val="0"/>
    <w:pPr>
      <w:tabs>
        <w:tab w:val="center" w:pos="4153"/>
        <w:tab w:val="right" w:pos="8306"/>
      </w:tabs>
      <w:snapToGrid w:val="0"/>
      <w:jc w:val="left"/>
    </w:pPr>
    <w:rPr>
      <w:sz w:val="18"/>
      <w:szCs w:val="18"/>
    </w:rPr>
  </w:style>
  <w:style w:type="paragraph" w:styleId="9">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qFormat/>
    <w:uiPriority w:val="0"/>
    <w:rPr>
      <w:color w:val="000000"/>
      <w:u w:val="none"/>
    </w:rPr>
  </w:style>
  <w:style w:type="character" w:styleId="17">
    <w:name w:val="Emphasis"/>
    <w:basedOn w:val="15"/>
    <w:qFormat/>
    <w:uiPriority w:val="0"/>
  </w:style>
  <w:style w:type="character" w:styleId="18">
    <w:name w:val="Hyperlink"/>
    <w:basedOn w:val="15"/>
    <w:qFormat/>
    <w:uiPriority w:val="0"/>
    <w:rPr>
      <w:color w:val="000000"/>
      <w:u w:val="none"/>
    </w:rPr>
  </w:style>
  <w:style w:type="character" w:customStyle="1" w:styleId="19">
    <w:name w:val="hover25"/>
    <w:basedOn w:val="15"/>
    <w:qFormat/>
    <w:uiPriority w:val="0"/>
  </w:style>
  <w:style w:type="character" w:customStyle="1" w:styleId="20">
    <w:name w:val="red"/>
    <w:basedOn w:val="15"/>
    <w:qFormat/>
    <w:uiPriority w:val="0"/>
    <w:rPr>
      <w:color w:val="FF0000"/>
      <w:sz w:val="18"/>
      <w:szCs w:val="18"/>
    </w:rPr>
  </w:style>
  <w:style w:type="character" w:customStyle="1" w:styleId="21">
    <w:name w:val="red1"/>
    <w:basedOn w:val="15"/>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qFormat/>
    <w:uiPriority w:val="0"/>
    <w:rPr>
      <w:color w:val="FF0000"/>
    </w:rPr>
  </w:style>
  <w:style w:type="character" w:customStyle="1" w:styleId="24">
    <w:name w:val="green"/>
    <w:basedOn w:val="15"/>
    <w:qFormat/>
    <w:uiPriority w:val="0"/>
    <w:rPr>
      <w:color w:val="66AE00"/>
      <w:sz w:val="18"/>
      <w:szCs w:val="18"/>
    </w:rPr>
  </w:style>
  <w:style w:type="character" w:customStyle="1" w:styleId="25">
    <w:name w:val="green1"/>
    <w:basedOn w:val="15"/>
    <w:qFormat/>
    <w:uiPriority w:val="0"/>
    <w:rPr>
      <w:color w:val="66AE00"/>
      <w:sz w:val="18"/>
      <w:szCs w:val="18"/>
    </w:rPr>
  </w:style>
  <w:style w:type="character" w:customStyle="1" w:styleId="26">
    <w:name w:val="blue"/>
    <w:basedOn w:val="15"/>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qFormat/>
    <w:uiPriority w:val="0"/>
  </w:style>
  <w:style w:type="paragraph" w:customStyle="1" w:styleId="29">
    <w:name w:val="列出段落1"/>
    <w:basedOn w:val="1"/>
    <w:qFormat/>
    <w:uiPriority w:val="34"/>
    <w:pPr>
      <w:ind w:firstLine="420" w:firstLineChars="200"/>
    </w:pPr>
  </w:style>
  <w:style w:type="character" w:customStyle="1" w:styleId="30">
    <w:name w:val="标题 2 Char"/>
    <w:basedOn w:val="15"/>
    <w:link w:val="2"/>
    <w:qFormat/>
    <w:uiPriority w:val="0"/>
    <w:rPr>
      <w:rFonts w:ascii="Arial" w:hAnsi="Arial" w:eastAsia="黑体" w:cs="Times New Roman"/>
      <w:b/>
      <w:bCs/>
      <w:kern w:val="0"/>
      <w:sz w:val="32"/>
      <w:szCs w:val="32"/>
    </w:rPr>
  </w:style>
  <w:style w:type="paragraph" w:customStyle="1" w:styleId="31">
    <w:name w:val="正文文本缩进1"/>
    <w:basedOn w:val="1"/>
    <w:qFormat/>
    <w:uiPriority w:val="0"/>
    <w:pPr>
      <w:spacing w:line="360" w:lineRule="auto"/>
      <w:ind w:firstLine="480" w:firstLineChars="200"/>
    </w:pPr>
    <w:rPr>
      <w:rFonts w:ascii="宋体"/>
      <w:sz w:val="24"/>
    </w:rPr>
  </w:style>
  <w:style w:type="paragraph" w:customStyle="1" w:styleId="3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qFormat/>
    <w:uiPriority w:val="0"/>
    <w:rPr>
      <w:sz w:val="24"/>
    </w:r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5">
    <w:name w:val="Table Normal"/>
    <w:semiHidden/>
    <w:unhideWhenUsed/>
    <w:qFormat/>
    <w:uiPriority w:val="0"/>
    <w:tblPr>
      <w:tblCellMar>
        <w:top w:w="0" w:type="dxa"/>
        <w:left w:w="0" w:type="dxa"/>
        <w:bottom w:w="0" w:type="dxa"/>
        <w:right w:w="0" w:type="dxa"/>
      </w:tblCellMar>
    </w:tblPr>
  </w:style>
  <w:style w:type="character" w:customStyle="1" w:styleId="36">
    <w:name w:val="页眉 Char"/>
    <w:basedOn w:val="15"/>
    <w:link w:val="9"/>
    <w:qFormat/>
    <w:uiPriority w:val="0"/>
    <w:rPr>
      <w:rFonts w:ascii="Calibri" w:hAnsi="Calibri"/>
      <w:kern w:val="2"/>
      <w:sz w:val="18"/>
      <w:szCs w:val="18"/>
    </w:rPr>
  </w:style>
  <w:style w:type="character" w:customStyle="1" w:styleId="37">
    <w:name w:val="页脚 Char"/>
    <w:basedOn w:val="15"/>
    <w:link w:val="8"/>
    <w:qFormat/>
    <w:uiPriority w:val="0"/>
    <w:rPr>
      <w:rFonts w:ascii="Calibri" w:hAnsi="Calibri"/>
      <w:kern w:val="2"/>
      <w:sz w:val="18"/>
      <w:szCs w:val="18"/>
    </w:rPr>
  </w:style>
  <w:style w:type="character" w:customStyle="1" w:styleId="38">
    <w:name w:val="hover"/>
    <w:basedOn w:val="15"/>
    <w:qFormat/>
    <w:uiPriority w:val="0"/>
    <w:rPr>
      <w:shd w:val="clear" w:fill="DE3232"/>
    </w:rPr>
  </w:style>
  <w:style w:type="character" w:customStyle="1" w:styleId="39">
    <w:name w:val="hover1"/>
    <w:basedOn w:val="15"/>
    <w:qFormat/>
    <w:uiPriority w:val="0"/>
  </w:style>
  <w:style w:type="character" w:customStyle="1" w:styleId="40">
    <w:name w:val="hover2"/>
    <w:basedOn w:val="15"/>
    <w:qFormat/>
    <w:uiPriority w:val="0"/>
    <w:rPr>
      <w:color w:val="C30000"/>
      <w:u w:val="none"/>
    </w:rPr>
  </w:style>
  <w:style w:type="character" w:customStyle="1" w:styleId="41">
    <w:name w:val="hover3"/>
    <w:basedOn w:val="15"/>
    <w:qFormat/>
    <w:uiPriority w:val="0"/>
    <w:rPr>
      <w:color w:val="1A85D7"/>
    </w:rPr>
  </w:style>
  <w:style w:type="character" w:customStyle="1" w:styleId="42">
    <w:name w:val="hover4"/>
    <w:basedOn w:val="15"/>
    <w:qFormat/>
    <w:uiPriority w:val="0"/>
    <w:rPr>
      <w:color w:val="C30000"/>
    </w:rPr>
  </w:style>
  <w:style w:type="character" w:customStyle="1" w:styleId="43">
    <w:name w:val="hover5"/>
    <w:basedOn w:val="15"/>
    <w:qFormat/>
    <w:uiPriority w:val="0"/>
    <w:rPr>
      <w:color w:val="C30000"/>
    </w:rPr>
  </w:style>
  <w:style w:type="character" w:customStyle="1" w:styleId="44">
    <w:name w:val="credit"/>
    <w:basedOn w:val="15"/>
    <w:qFormat/>
    <w:uiPriority w:val="0"/>
    <w:rPr>
      <w:sz w:val="18"/>
      <w:szCs w:val="18"/>
    </w:rPr>
  </w:style>
  <w:style w:type="character" w:customStyle="1" w:styleId="45">
    <w:name w:val="after"/>
    <w:basedOn w:val="15"/>
    <w:qFormat/>
    <w:uiPriority w:val="0"/>
    <w:rPr>
      <w:bdr w:val="dashed" w:color="auto" w:sz="48" w:space="0"/>
    </w:rPr>
  </w:style>
  <w:style w:type="character" w:customStyle="1" w:styleId="46">
    <w:name w:val="after1"/>
    <w:basedOn w:val="15"/>
    <w:qFormat/>
    <w:uiPriority w:val="0"/>
  </w:style>
  <w:style w:type="character" w:customStyle="1" w:styleId="47">
    <w:name w:val="after2"/>
    <w:basedOn w:val="15"/>
    <w:qFormat/>
    <w:uiPriority w:val="0"/>
  </w:style>
  <w:style w:type="character" w:customStyle="1" w:styleId="48">
    <w:name w:val="before1"/>
    <w:basedOn w:val="15"/>
    <w:qFormat/>
    <w:uiPriority w:val="0"/>
    <w:rPr>
      <w:bdr w:val="single" w:color="auto" w:sz="48" w:space="0"/>
    </w:rPr>
  </w:style>
  <w:style w:type="character" w:customStyle="1" w:styleId="49">
    <w:name w:val="before2"/>
    <w:basedOn w:val="15"/>
    <w:qFormat/>
    <w:uiPriority w:val="0"/>
    <w:rPr>
      <w:shd w:val="clear" w:fill="C30000"/>
    </w:rPr>
  </w:style>
  <w:style w:type="character" w:customStyle="1" w:styleId="50">
    <w:name w:val="before3"/>
    <w:basedOn w:val="15"/>
    <w:qFormat/>
    <w:uiPriority w:val="0"/>
  </w:style>
  <w:style w:type="character" w:customStyle="1" w:styleId="51">
    <w:name w:val="before4"/>
    <w:basedOn w:val="15"/>
    <w:qFormat/>
    <w:uiPriority w:val="0"/>
    <w:rPr>
      <w:rFonts w:hint="default" w:ascii="iconfontstat_1" w:hAnsi="iconfontstat_1" w:eastAsia="iconfontstat_1" w:cs="iconfontstat_1"/>
    </w:rPr>
  </w:style>
  <w:style w:type="character" w:customStyle="1" w:styleId="52">
    <w:name w:val="before5"/>
    <w:basedOn w:val="15"/>
    <w:qFormat/>
    <w:uiPriority w:val="0"/>
  </w:style>
  <w:style w:type="character" w:customStyle="1" w:styleId="53">
    <w:name w:val="before6"/>
    <w:basedOn w:val="15"/>
    <w:qFormat/>
    <w:uiPriority w:val="0"/>
  </w:style>
  <w:style w:type="character" w:customStyle="1" w:styleId="54">
    <w:name w:val="before7"/>
    <w:basedOn w:val="15"/>
    <w:qFormat/>
    <w:uiPriority w:val="0"/>
  </w:style>
  <w:style w:type="character" w:customStyle="1" w:styleId="55">
    <w:name w:val="before8"/>
    <w:basedOn w:val="15"/>
    <w:qFormat/>
    <w:uiPriority w:val="0"/>
  </w:style>
  <w:style w:type="character" w:customStyle="1" w:styleId="56">
    <w:name w:val="before9"/>
    <w:basedOn w:val="15"/>
    <w:qFormat/>
    <w:uiPriority w:val="0"/>
  </w:style>
  <w:style w:type="character" w:customStyle="1" w:styleId="57">
    <w:name w:val="before10"/>
    <w:basedOn w:val="15"/>
    <w:qFormat/>
    <w:uiPriority w:val="0"/>
  </w:style>
  <w:style w:type="character" w:customStyle="1" w:styleId="58">
    <w:name w:val="before11"/>
    <w:basedOn w:val="15"/>
    <w:qFormat/>
    <w:uiPriority w:val="0"/>
  </w:style>
  <w:style w:type="character" w:customStyle="1" w:styleId="59">
    <w:name w:val="before12"/>
    <w:basedOn w:val="15"/>
    <w:qFormat/>
    <w:uiPriority w:val="0"/>
  </w:style>
  <w:style w:type="character" w:customStyle="1" w:styleId="60">
    <w:name w:val="first-child"/>
    <w:basedOn w:val="15"/>
    <w:qFormat/>
    <w:uiPriority w:val="0"/>
    <w:rPr>
      <w:shd w:val="clear" w:fill="C30000"/>
    </w:rPr>
  </w:style>
  <w:style w:type="character" w:customStyle="1" w:styleId="61">
    <w:name w:val="first-child1"/>
    <w:basedOn w:val="15"/>
    <w:qFormat/>
    <w:uiPriority w:val="0"/>
  </w:style>
  <w:style w:type="character" w:customStyle="1" w:styleId="62">
    <w:name w:val="last-child"/>
    <w:basedOn w:val="15"/>
    <w:qFormat/>
    <w:uiPriority w:val="0"/>
  </w:style>
  <w:style w:type="character" w:customStyle="1" w:styleId="63">
    <w:name w:val="active2"/>
    <w:basedOn w:val="15"/>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11</Pages>
  <Words>2558</Words>
  <Characters>2838</Characters>
  <Lines>25</Lines>
  <Paragraphs>7</Paragraphs>
  <TotalTime>15</TotalTime>
  <ScaleCrop>false</ScaleCrop>
  <LinksUpToDate>false</LinksUpToDate>
  <CharactersWithSpaces>3041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啦啦啦</cp:lastModifiedBy>
  <cp:lastPrinted>2023-11-21T23:59:00Z</cp:lastPrinted>
  <dcterms:modified xsi:type="dcterms:W3CDTF">2024-11-12T06:03:04Z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191A3D4B345C463898599388CCF1C0F4_13</vt:lpwstr>
  </property>
</Properties>
</file>