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宋体" w:cs="宋体"/>
          <w:b/>
          <w:bCs/>
          <w:sz w:val="44"/>
          <w:szCs w:val="44"/>
        </w:rPr>
      </w:pPr>
      <w:r>
        <w:rPr>
          <w:rFonts w:hint="eastAsia" w:ascii="宋体" w:hAnsi="宋体" w:eastAsia="宋体" w:cs="宋体"/>
          <w:b/>
          <w:bCs/>
          <w:sz w:val="44"/>
          <w:szCs w:val="44"/>
        </w:rPr>
        <w:t>许昌市投资集团有限公司</w:t>
      </w:r>
    </w:p>
    <w:p>
      <w:pPr>
        <w:spacing w:line="600" w:lineRule="exact"/>
        <w:jc w:val="center"/>
        <w:rPr>
          <w:rFonts w:ascii="华文中宋" w:hAnsi="华文中宋" w:eastAsia="华文中宋" w:cs="华文中宋"/>
          <w:b/>
          <w:bCs/>
          <w:sz w:val="44"/>
          <w:szCs w:val="44"/>
        </w:rPr>
      </w:pPr>
      <w:r>
        <w:rPr>
          <w:rFonts w:hint="eastAsia" w:ascii="宋体" w:hAnsi="宋体" w:eastAsia="宋体" w:cs="宋体"/>
          <w:b/>
          <w:bCs/>
          <w:sz w:val="44"/>
          <w:szCs w:val="44"/>
        </w:rPr>
        <w:t>中原电气实验室中控系统平台项目</w:t>
      </w:r>
    </w:p>
    <w:p>
      <w:pPr>
        <w:spacing w:line="600" w:lineRule="exact"/>
        <w:jc w:val="center"/>
        <w:rPr>
          <w:rFonts w:ascii="宋体" w:hAnsi="宋体" w:eastAsia="宋体" w:cs="宋体"/>
          <w:b/>
          <w:bCs/>
          <w:sz w:val="44"/>
          <w:szCs w:val="44"/>
        </w:rPr>
      </w:pPr>
      <w:r>
        <w:rPr>
          <w:rFonts w:hint="eastAsia" w:ascii="宋体" w:hAnsi="宋体" w:eastAsia="宋体" w:cs="宋体"/>
          <w:b/>
          <w:bCs/>
          <w:sz w:val="44"/>
          <w:szCs w:val="44"/>
        </w:rPr>
        <w:t>询价文件</w:t>
      </w:r>
    </w:p>
    <w:p>
      <w:pPr>
        <w:spacing w:line="600" w:lineRule="exact"/>
        <w:ind w:firstLine="643" w:firstLineChars="200"/>
        <w:rPr>
          <w:rFonts w:ascii="仿宋_GB2312" w:eastAsia="仿宋_GB2312"/>
          <w:b/>
          <w:sz w:val="32"/>
          <w:szCs w:val="32"/>
        </w:rPr>
      </w:pPr>
    </w:p>
    <w:p>
      <w:pPr>
        <w:spacing w:line="600" w:lineRule="exact"/>
        <w:ind w:firstLine="643" w:firstLineChars="200"/>
        <w:rPr>
          <w:rFonts w:ascii="仿宋_GB2312" w:eastAsia="仿宋_GB2312"/>
          <w:bCs/>
          <w:sz w:val="32"/>
          <w:szCs w:val="32"/>
        </w:rPr>
      </w:pPr>
      <w:r>
        <w:rPr>
          <w:rFonts w:hint="eastAsia" w:ascii="仿宋_GB2312" w:eastAsia="仿宋_GB2312"/>
          <w:b/>
          <w:sz w:val="32"/>
          <w:szCs w:val="32"/>
        </w:rPr>
        <w:t>项目名称：</w:t>
      </w:r>
      <w:r>
        <w:rPr>
          <w:rFonts w:hint="eastAsia" w:ascii="仿宋_GB2312" w:eastAsia="仿宋_GB2312"/>
          <w:bCs/>
          <w:sz w:val="32"/>
          <w:szCs w:val="32"/>
        </w:rPr>
        <w:t>中原电气实验室中控系统平台</w:t>
      </w:r>
    </w:p>
    <w:p>
      <w:pPr>
        <w:widowControl/>
        <w:tabs>
          <w:tab w:val="center" w:pos="4201"/>
          <w:tab w:val="right" w:leader="dot" w:pos="9298"/>
        </w:tabs>
        <w:autoSpaceDE w:val="0"/>
        <w:autoSpaceDN w:val="0"/>
        <w:spacing w:line="480" w:lineRule="auto"/>
        <w:ind w:firstLine="643" w:firstLineChars="200"/>
        <w:rPr>
          <w:rFonts w:ascii="仿宋_GB2312" w:eastAsia="仿宋_GB2312"/>
          <w:bCs/>
          <w:sz w:val="32"/>
          <w:szCs w:val="32"/>
        </w:rPr>
      </w:pPr>
      <w:r>
        <w:rPr>
          <w:rFonts w:hint="eastAsia" w:ascii="仿宋_GB2312" w:eastAsia="仿宋_GB2312"/>
          <w:b/>
          <w:sz w:val="32"/>
          <w:szCs w:val="32"/>
        </w:rPr>
        <w:t>项目概况：</w:t>
      </w:r>
      <w:r>
        <w:rPr>
          <w:rFonts w:hint="eastAsia" w:ascii="仿宋_GB2312" w:eastAsia="仿宋_GB2312"/>
          <w:bCs/>
          <w:sz w:val="32"/>
          <w:szCs w:val="32"/>
        </w:rPr>
        <w:t>本项目位于许昌市中原电气实验室。主要工作内容如下：将光纤引入中原电气实验室总部及研发中心，并且在总部建设中控系统平台（含会议系统），确保与研发中心及基地的互联互通等。</w:t>
      </w:r>
    </w:p>
    <w:p>
      <w:pPr>
        <w:pStyle w:val="2"/>
        <w:ind w:left="0" w:firstLine="643"/>
        <w:rPr>
          <w:rFonts w:eastAsia="仿宋_GB2312"/>
          <w:lang w:eastAsia="zh-CN"/>
        </w:rPr>
      </w:pPr>
      <w:r>
        <w:rPr>
          <w:rFonts w:hint="eastAsia" w:ascii="仿宋_GB2312" w:eastAsia="仿宋_GB2312" w:hAnsiTheme="minorHAnsi" w:cstheme="minorBidi"/>
          <w:b/>
          <w:kern w:val="2"/>
          <w:sz w:val="32"/>
          <w:szCs w:val="32"/>
          <w:lang w:eastAsia="zh-CN"/>
        </w:rPr>
        <w:t>工期</w:t>
      </w:r>
      <w:r>
        <w:rPr>
          <w:rFonts w:hint="eastAsia" w:eastAsia="仿宋_GB2312"/>
          <w:lang w:eastAsia="zh-CN"/>
        </w:rPr>
        <w:t>：</w:t>
      </w:r>
      <w:r>
        <w:rPr>
          <w:rFonts w:hint="eastAsia" w:ascii="仿宋_GB2312" w:eastAsia="仿宋_GB2312" w:hAnsiTheme="minorHAnsi" w:cstheme="minorBidi"/>
          <w:bCs/>
          <w:kern w:val="2"/>
          <w:sz w:val="32"/>
          <w:szCs w:val="32"/>
          <w:lang w:eastAsia="zh-CN"/>
        </w:rPr>
        <w:t>10日历天</w:t>
      </w:r>
    </w:p>
    <w:p>
      <w:pPr>
        <w:spacing w:line="480" w:lineRule="auto"/>
        <w:ind w:firstLine="643" w:firstLineChars="200"/>
        <w:rPr>
          <w:rFonts w:ascii="仿宋_GB2312" w:eastAsia="仿宋_GB2312"/>
          <w:sz w:val="32"/>
          <w:szCs w:val="32"/>
        </w:rPr>
      </w:pPr>
      <w:r>
        <w:rPr>
          <w:rFonts w:hint="eastAsia" w:ascii="仿宋_GB2312" w:eastAsia="仿宋_GB2312"/>
          <w:b/>
          <w:sz w:val="32"/>
          <w:szCs w:val="32"/>
        </w:rPr>
        <w:t>招标人：</w:t>
      </w:r>
      <w:r>
        <w:rPr>
          <w:rFonts w:hint="eastAsia" w:ascii="仿宋_GB2312" w:eastAsia="仿宋_GB2312"/>
          <w:sz w:val="32"/>
          <w:szCs w:val="32"/>
        </w:rPr>
        <w:t>许昌市投资集团有限公司</w:t>
      </w:r>
    </w:p>
    <w:p>
      <w:pPr>
        <w:spacing w:line="480" w:lineRule="auto"/>
        <w:ind w:firstLine="643" w:firstLineChars="200"/>
        <w:rPr>
          <w:rFonts w:ascii="仿宋_GB2312" w:eastAsia="仿宋_GB2312"/>
          <w:sz w:val="32"/>
          <w:szCs w:val="32"/>
        </w:rPr>
      </w:pPr>
      <w:r>
        <w:rPr>
          <w:rFonts w:hint="eastAsia" w:ascii="仿宋_GB2312" w:eastAsia="仿宋_GB2312"/>
          <w:b/>
          <w:sz w:val="32"/>
          <w:szCs w:val="32"/>
        </w:rPr>
        <w:t>招标控制价：</w:t>
      </w:r>
      <w:r>
        <w:rPr>
          <w:rFonts w:hint="eastAsia" w:ascii="仿宋_GB2312" w:eastAsia="仿宋_GB2312"/>
          <w:sz w:val="32"/>
          <w:szCs w:val="32"/>
        </w:rPr>
        <w:t>9338</w:t>
      </w:r>
      <w:r>
        <w:rPr>
          <w:rFonts w:hint="eastAsia" w:ascii="仿宋_GB2312" w:eastAsia="仿宋_GB2312"/>
          <w:bCs/>
          <w:sz w:val="32"/>
          <w:szCs w:val="32"/>
        </w:rPr>
        <w:t>0元(含税价)</w:t>
      </w:r>
    </w:p>
    <w:p>
      <w:pPr>
        <w:ind w:firstLine="643" w:firstLineChars="200"/>
        <w:jc w:val="left"/>
        <w:rPr>
          <w:rFonts w:ascii="仿宋_GB2312" w:eastAsia="仿宋_GB2312"/>
          <w:b/>
          <w:sz w:val="32"/>
          <w:szCs w:val="32"/>
        </w:rPr>
      </w:pPr>
      <w:r>
        <w:rPr>
          <w:rFonts w:hint="eastAsia" w:ascii="仿宋_GB2312" w:eastAsia="仿宋_GB2312"/>
          <w:b/>
          <w:sz w:val="32"/>
          <w:szCs w:val="32"/>
        </w:rPr>
        <w:t>投标人要求：</w:t>
      </w:r>
    </w:p>
    <w:p>
      <w:pPr>
        <w:ind w:firstLine="640" w:firstLineChars="200"/>
        <w:jc w:val="left"/>
        <w:rPr>
          <w:rFonts w:ascii="仿宋_GB2312" w:eastAsia="仿宋_GB2312"/>
          <w:bCs/>
          <w:sz w:val="32"/>
          <w:szCs w:val="32"/>
        </w:rPr>
      </w:pPr>
      <w:r>
        <w:rPr>
          <w:rFonts w:hint="eastAsia" w:ascii="仿宋_GB2312" w:eastAsia="仿宋_GB2312"/>
          <w:bCs/>
          <w:sz w:val="32"/>
          <w:szCs w:val="32"/>
        </w:rPr>
        <w:t>（一）具备《中华人民共和国政府采购法》第二十二条规定的条件；</w:t>
      </w:r>
    </w:p>
    <w:p>
      <w:pPr>
        <w:ind w:firstLine="640" w:firstLineChars="200"/>
        <w:jc w:val="left"/>
        <w:rPr>
          <w:rFonts w:ascii="仿宋_GB2312" w:eastAsia="仿宋_GB2312"/>
          <w:bCs/>
          <w:sz w:val="32"/>
          <w:szCs w:val="32"/>
        </w:rPr>
      </w:pPr>
      <w:r>
        <w:rPr>
          <w:rFonts w:hint="eastAsia" w:ascii="仿宋_GB2312" w:eastAsia="仿宋_GB2312"/>
          <w:bCs/>
          <w:sz w:val="32"/>
          <w:szCs w:val="32"/>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pPr>
        <w:ind w:firstLine="640" w:firstLineChars="200"/>
        <w:jc w:val="left"/>
        <w:rPr>
          <w:rFonts w:ascii="仿宋_GB2312" w:eastAsia="仿宋_GB2312"/>
          <w:bCs/>
          <w:sz w:val="32"/>
          <w:szCs w:val="32"/>
        </w:rPr>
      </w:pPr>
      <w:r>
        <w:rPr>
          <w:rFonts w:hint="eastAsia" w:ascii="仿宋_GB2312" w:eastAsia="仿宋_GB2312"/>
          <w:bCs/>
          <w:sz w:val="32"/>
          <w:szCs w:val="32"/>
        </w:rPr>
        <w:t>（三）投标人必须</w:t>
      </w:r>
      <w:r>
        <w:rPr>
          <w:rFonts w:ascii="仿宋_GB2312" w:eastAsia="仿宋_GB2312"/>
          <w:bCs/>
          <w:sz w:val="32"/>
          <w:szCs w:val="32"/>
        </w:rPr>
        <w:t>具有独立的法人资格</w:t>
      </w:r>
      <w:r>
        <w:rPr>
          <w:rFonts w:hint="eastAsia" w:ascii="仿宋_GB2312" w:eastAsia="仿宋_GB2312"/>
          <w:bCs/>
          <w:sz w:val="32"/>
          <w:szCs w:val="32"/>
        </w:rPr>
        <w:t>，</w:t>
      </w:r>
      <w:r>
        <w:rPr>
          <w:rFonts w:ascii="仿宋_GB2312" w:eastAsia="仿宋_GB2312"/>
          <w:bCs/>
          <w:sz w:val="32"/>
          <w:szCs w:val="32"/>
        </w:rPr>
        <w:t>并持有有效的营业执照</w:t>
      </w:r>
      <w:r>
        <w:rPr>
          <w:rFonts w:hint="eastAsia" w:ascii="仿宋_GB2312" w:eastAsia="仿宋_GB2312"/>
          <w:bCs/>
          <w:sz w:val="32"/>
          <w:szCs w:val="32"/>
        </w:rPr>
        <w:t>；</w:t>
      </w:r>
    </w:p>
    <w:p>
      <w:pPr>
        <w:ind w:firstLine="640" w:firstLineChars="200"/>
        <w:jc w:val="left"/>
        <w:rPr>
          <w:rFonts w:ascii="仿宋_GB2312" w:eastAsia="仿宋_GB2312"/>
          <w:bCs/>
          <w:sz w:val="32"/>
          <w:szCs w:val="32"/>
        </w:rPr>
      </w:pPr>
      <w:r>
        <w:rPr>
          <w:rFonts w:hint="eastAsia" w:ascii="仿宋_GB2312" w:eastAsia="仿宋_GB2312"/>
          <w:bCs/>
          <w:sz w:val="32"/>
          <w:szCs w:val="32"/>
        </w:rPr>
        <w:t>（四）本次招标不接受联合体投标。</w:t>
      </w:r>
    </w:p>
    <w:p>
      <w:pPr>
        <w:pStyle w:val="2"/>
        <w:ind w:left="0" w:firstLine="640"/>
        <w:rPr>
          <w:rFonts w:ascii="仿宋_GB2312" w:eastAsia="仿宋_GB2312" w:hAnsiTheme="minorHAnsi" w:cstheme="minorBidi"/>
          <w:bCs/>
          <w:kern w:val="2"/>
          <w:sz w:val="32"/>
          <w:szCs w:val="32"/>
          <w:lang w:eastAsia="zh-CN"/>
        </w:rPr>
      </w:pPr>
      <w:r>
        <w:rPr>
          <w:rFonts w:hint="eastAsia" w:ascii="仿宋_GB2312" w:eastAsia="仿宋_GB2312" w:hAnsiTheme="minorHAnsi" w:cstheme="minorBidi"/>
          <w:bCs/>
          <w:kern w:val="2"/>
          <w:sz w:val="32"/>
          <w:szCs w:val="32"/>
          <w:lang w:eastAsia="zh-CN"/>
        </w:rPr>
        <w:t>（五）本项目资格审查贯穿招标全过程。</w:t>
      </w:r>
    </w:p>
    <w:p>
      <w:pPr>
        <w:spacing w:line="480" w:lineRule="auto"/>
        <w:ind w:firstLine="643" w:firstLineChars="200"/>
        <w:rPr>
          <w:rFonts w:ascii="仿宋_GB2312" w:eastAsia="仿宋_GB2312"/>
          <w:b/>
          <w:sz w:val="32"/>
          <w:szCs w:val="32"/>
        </w:rPr>
      </w:pPr>
      <w:r>
        <w:rPr>
          <w:rFonts w:hint="eastAsia" w:ascii="仿宋_GB2312" w:eastAsia="仿宋_GB2312"/>
          <w:b/>
          <w:sz w:val="32"/>
          <w:szCs w:val="32"/>
        </w:rPr>
        <w:t>投标响应文件要求：</w:t>
      </w:r>
    </w:p>
    <w:p>
      <w:pPr>
        <w:ind w:firstLine="640" w:firstLineChars="200"/>
        <w:jc w:val="left"/>
        <w:rPr>
          <w:rFonts w:ascii="仿宋_GB2312" w:eastAsia="仿宋_GB2312"/>
          <w:bCs/>
          <w:sz w:val="32"/>
          <w:szCs w:val="32"/>
        </w:rPr>
      </w:pPr>
      <w:r>
        <w:rPr>
          <w:rFonts w:hint="eastAsia" w:ascii="仿宋_GB2312" w:eastAsia="仿宋_GB2312"/>
          <w:bCs/>
          <w:sz w:val="32"/>
          <w:szCs w:val="32"/>
        </w:rPr>
        <w:t>1.投标单位营业执照复印件及相关资质证书加盖公章；</w:t>
      </w:r>
    </w:p>
    <w:p>
      <w:pPr>
        <w:ind w:firstLine="640" w:firstLineChars="200"/>
        <w:jc w:val="left"/>
        <w:rPr>
          <w:rFonts w:ascii="仿宋_GB2312" w:eastAsia="仿宋_GB2312"/>
          <w:bCs/>
          <w:sz w:val="32"/>
          <w:szCs w:val="32"/>
        </w:rPr>
      </w:pPr>
      <w:r>
        <w:rPr>
          <w:rFonts w:hint="eastAsia" w:ascii="仿宋_GB2312" w:eastAsia="仿宋_GB2312"/>
          <w:bCs/>
          <w:sz w:val="32"/>
          <w:szCs w:val="32"/>
        </w:rPr>
        <w:t>2.实施方案；</w:t>
      </w:r>
    </w:p>
    <w:p>
      <w:pPr>
        <w:ind w:firstLine="640" w:firstLineChars="200"/>
        <w:jc w:val="left"/>
        <w:rPr>
          <w:rFonts w:ascii="仿宋_GB2312" w:eastAsia="仿宋_GB2312"/>
          <w:bCs/>
          <w:sz w:val="32"/>
          <w:szCs w:val="32"/>
        </w:rPr>
      </w:pPr>
      <w:r>
        <w:rPr>
          <w:rFonts w:hint="eastAsia" w:ascii="仿宋_GB2312" w:eastAsia="仿宋_GB2312"/>
          <w:bCs/>
          <w:sz w:val="32"/>
          <w:szCs w:val="32"/>
        </w:rPr>
        <w:t>3.投标报价表；（见附件2）</w:t>
      </w:r>
    </w:p>
    <w:p>
      <w:pPr>
        <w:ind w:firstLine="640" w:firstLineChars="200"/>
        <w:jc w:val="left"/>
        <w:rPr>
          <w:rFonts w:ascii="仿宋_GB2312" w:eastAsia="仿宋_GB2312"/>
          <w:bCs/>
          <w:sz w:val="32"/>
          <w:szCs w:val="32"/>
        </w:rPr>
      </w:pPr>
      <w:r>
        <w:rPr>
          <w:rFonts w:hint="eastAsia" w:ascii="仿宋_GB2312" w:eastAsia="仿宋_GB2312"/>
          <w:bCs/>
          <w:sz w:val="32"/>
          <w:szCs w:val="32"/>
        </w:rPr>
        <w:t>4.投标报价详表；（见附件3）</w:t>
      </w:r>
    </w:p>
    <w:p>
      <w:pPr>
        <w:ind w:firstLine="640" w:firstLineChars="200"/>
        <w:jc w:val="left"/>
        <w:rPr>
          <w:rFonts w:ascii="仿宋_GB2312" w:eastAsia="仿宋_GB2312"/>
          <w:bCs/>
          <w:sz w:val="32"/>
          <w:szCs w:val="32"/>
        </w:rPr>
      </w:pPr>
      <w:r>
        <w:rPr>
          <w:rFonts w:hint="eastAsia" w:ascii="仿宋_GB2312" w:eastAsia="仿宋_GB2312"/>
          <w:bCs/>
          <w:sz w:val="32"/>
          <w:szCs w:val="32"/>
        </w:rPr>
        <w:t>5.投标单位承诺书、投标授权书（见附件4）；</w:t>
      </w:r>
    </w:p>
    <w:p>
      <w:pPr>
        <w:ind w:firstLine="640" w:firstLineChars="200"/>
        <w:jc w:val="left"/>
        <w:rPr>
          <w:rFonts w:ascii="仿宋_GB2312" w:eastAsia="仿宋_GB2312"/>
          <w:bCs/>
          <w:sz w:val="32"/>
          <w:szCs w:val="32"/>
        </w:rPr>
      </w:pPr>
      <w:r>
        <w:rPr>
          <w:rFonts w:hint="eastAsia" w:ascii="仿宋_GB2312" w:eastAsia="仿宋_GB2312"/>
          <w:bCs/>
          <w:sz w:val="32"/>
          <w:szCs w:val="32"/>
        </w:rPr>
        <w:t>6.投标单位廉洁承诺书。（见附件5）</w:t>
      </w:r>
    </w:p>
    <w:p>
      <w:pPr>
        <w:ind w:firstLine="640" w:firstLineChars="200"/>
        <w:jc w:val="left"/>
        <w:rPr>
          <w:rFonts w:ascii="仿宋_GB2312" w:eastAsia="仿宋_GB2312"/>
          <w:bCs/>
          <w:sz w:val="32"/>
          <w:szCs w:val="32"/>
        </w:rPr>
      </w:pPr>
      <w:r>
        <w:rPr>
          <w:rFonts w:hint="eastAsia" w:ascii="仿宋_GB2312" w:eastAsia="仿宋_GB2312"/>
          <w:bCs/>
          <w:sz w:val="32"/>
          <w:szCs w:val="32"/>
        </w:rPr>
        <w:t>以上文件应按顺序装订成册并密封，密封处加盖公司公章，一式2份。</w:t>
      </w:r>
    </w:p>
    <w:p>
      <w:pPr>
        <w:pStyle w:val="2"/>
        <w:ind w:left="0" w:firstLine="643"/>
        <w:rPr>
          <w:rFonts w:ascii="仿宋_GB2312" w:eastAsia="仿宋_GB2312"/>
          <w:b/>
          <w:sz w:val="32"/>
          <w:szCs w:val="32"/>
          <w:lang w:eastAsia="zh-CN"/>
        </w:rPr>
      </w:pPr>
      <w:r>
        <w:rPr>
          <w:rFonts w:hint="eastAsia" w:ascii="仿宋_GB2312" w:eastAsia="仿宋_GB2312"/>
          <w:b/>
          <w:sz w:val="32"/>
          <w:szCs w:val="32"/>
        </w:rPr>
        <w:t>评标方法：</w:t>
      </w:r>
    </w:p>
    <w:p>
      <w:pPr>
        <w:ind w:firstLine="640" w:firstLineChars="200"/>
        <w:jc w:val="left"/>
        <w:rPr>
          <w:rFonts w:ascii="仿宋_GB2312" w:eastAsia="仿宋_GB2312"/>
          <w:bCs/>
          <w:sz w:val="32"/>
          <w:szCs w:val="32"/>
        </w:rPr>
      </w:pPr>
      <w:r>
        <w:rPr>
          <w:rFonts w:hint="eastAsia" w:ascii="仿宋_GB2312" w:eastAsia="仿宋_GB2312"/>
          <w:bCs/>
          <w:sz w:val="32"/>
          <w:szCs w:val="32"/>
        </w:rPr>
        <w:t>最低价中标且实施方案得分不少于85分（见询价文件）。</w:t>
      </w:r>
    </w:p>
    <w:p>
      <w:pPr>
        <w:spacing w:line="480" w:lineRule="auto"/>
        <w:ind w:firstLine="643" w:firstLineChars="200"/>
        <w:rPr>
          <w:rFonts w:ascii="仿宋_GB2312" w:eastAsia="仿宋_GB2312"/>
          <w:sz w:val="32"/>
          <w:szCs w:val="32"/>
        </w:rPr>
      </w:pPr>
      <w:r>
        <w:rPr>
          <w:rFonts w:hint="eastAsia" w:ascii="仿宋_GB2312" w:eastAsia="仿宋_GB2312"/>
          <w:b/>
          <w:sz w:val="32"/>
          <w:szCs w:val="32"/>
        </w:rPr>
        <w:t>开标时间：</w:t>
      </w:r>
      <w:r>
        <w:rPr>
          <w:rFonts w:hint="eastAsia" w:ascii="仿宋_GB2312" w:eastAsia="仿宋_GB2312"/>
          <w:bCs/>
          <w:sz w:val="32"/>
          <w:szCs w:val="32"/>
        </w:rPr>
        <w:t>2024</w:t>
      </w:r>
      <w:r>
        <w:rPr>
          <w:rFonts w:hint="eastAsia" w:ascii="仿宋_GB2312" w:eastAsia="仿宋_GB2312"/>
          <w:sz w:val="32"/>
          <w:szCs w:val="32"/>
        </w:rPr>
        <w:t>年3月11日16:00</w:t>
      </w:r>
    </w:p>
    <w:p>
      <w:pPr>
        <w:spacing w:line="480" w:lineRule="auto"/>
        <w:ind w:firstLine="643" w:firstLineChars="200"/>
        <w:rPr>
          <w:rFonts w:ascii="仿宋_GB2312" w:eastAsia="仿宋_GB2312"/>
          <w:sz w:val="32"/>
          <w:szCs w:val="32"/>
        </w:rPr>
      </w:pPr>
      <w:r>
        <w:rPr>
          <w:rFonts w:hint="eastAsia" w:ascii="仿宋_GB2312" w:eastAsia="仿宋_GB2312"/>
          <w:b/>
          <w:sz w:val="32"/>
          <w:szCs w:val="32"/>
        </w:rPr>
        <w:t>开标地点：</w:t>
      </w:r>
      <w:r>
        <w:rPr>
          <w:rFonts w:hint="eastAsia" w:ascii="仿宋_GB2312" w:eastAsia="仿宋_GB2312"/>
          <w:sz w:val="32"/>
          <w:szCs w:val="32"/>
        </w:rPr>
        <w:t>许昌市投资集团有限公司开标室（许昌市明理街与魏武大道交叉口智慧岛科研楼4楼）</w:t>
      </w:r>
    </w:p>
    <w:p>
      <w:pPr>
        <w:spacing w:line="480" w:lineRule="auto"/>
        <w:ind w:firstLine="643" w:firstLineChars="200"/>
        <w:rPr>
          <w:rFonts w:ascii="仿宋_GB2312" w:eastAsia="仿宋_GB2312"/>
          <w:b/>
          <w:bCs/>
          <w:sz w:val="32"/>
          <w:szCs w:val="32"/>
        </w:rPr>
      </w:pPr>
      <w:r>
        <w:rPr>
          <w:rFonts w:hint="eastAsia" w:ascii="仿宋_GB2312" w:eastAsia="仿宋_GB2312"/>
          <w:b/>
          <w:bCs/>
          <w:sz w:val="32"/>
          <w:szCs w:val="32"/>
        </w:rPr>
        <w:t>其他事宜：</w:t>
      </w:r>
    </w:p>
    <w:p>
      <w:pPr>
        <w:spacing w:line="480" w:lineRule="auto"/>
        <w:ind w:firstLine="640" w:firstLineChars="200"/>
        <w:rPr>
          <w:rFonts w:ascii="仿宋_GB2312" w:eastAsia="仿宋_GB2312"/>
          <w:bCs/>
          <w:sz w:val="32"/>
          <w:szCs w:val="32"/>
        </w:rPr>
      </w:pPr>
      <w:r>
        <w:rPr>
          <w:rFonts w:hint="eastAsia" w:ascii="仿宋_GB2312" w:eastAsia="仿宋_GB2312"/>
          <w:bCs/>
          <w:sz w:val="32"/>
          <w:szCs w:val="32"/>
        </w:rPr>
        <w:t>(一)询价公告发布方式：本次询价公告在许昌市投资集团有限公司网站(http://www.xcstzzgs.cn/)发布，公告期限为3个工作日。</w:t>
      </w:r>
    </w:p>
    <w:p>
      <w:pPr>
        <w:spacing w:line="480" w:lineRule="auto"/>
        <w:ind w:firstLine="640" w:firstLineChars="200"/>
        <w:rPr>
          <w:rFonts w:ascii="仿宋_GB2312" w:eastAsia="仿宋_GB2312"/>
          <w:bCs/>
          <w:sz w:val="32"/>
          <w:szCs w:val="32"/>
        </w:rPr>
      </w:pPr>
      <w:r>
        <w:rPr>
          <w:rFonts w:hint="eastAsia" w:ascii="仿宋_GB2312" w:eastAsia="仿宋_GB2312"/>
          <w:bCs/>
          <w:sz w:val="32"/>
          <w:szCs w:val="32"/>
        </w:rPr>
        <w:t>(二)询价文件获取：询价文件请到许昌市投资集团有限公司网站(http://www.xcstzzgs.cn/)下载。</w:t>
      </w:r>
    </w:p>
    <w:p>
      <w:pPr>
        <w:spacing w:line="480" w:lineRule="auto"/>
        <w:ind w:firstLine="640" w:firstLineChars="200"/>
        <w:rPr>
          <w:rFonts w:ascii="仿宋_GB2312" w:eastAsia="仿宋_GB2312"/>
          <w:bCs/>
          <w:sz w:val="32"/>
          <w:szCs w:val="32"/>
        </w:rPr>
      </w:pPr>
      <w:r>
        <w:rPr>
          <w:rFonts w:hint="eastAsia" w:ascii="仿宋_GB2312" w:eastAsia="仿宋_GB2312"/>
          <w:bCs/>
          <w:sz w:val="32"/>
          <w:szCs w:val="32"/>
        </w:rPr>
        <w:t>(三)资料提交方式及截止日期：现场递交或邮寄均可，截止时间：202</w:t>
      </w:r>
      <w:r>
        <w:rPr>
          <w:rFonts w:hint="eastAsia" w:ascii="仿宋_GB2312" w:eastAsia="仿宋_GB2312"/>
          <w:bCs/>
          <w:sz w:val="32"/>
          <w:szCs w:val="32"/>
          <w:lang w:val="en-US" w:eastAsia="zh-CN"/>
        </w:rPr>
        <w:t>4</w:t>
      </w:r>
      <w:r>
        <w:rPr>
          <w:rFonts w:hint="eastAsia" w:ascii="仿宋_GB2312" w:eastAsia="仿宋_GB2312"/>
          <w:bCs/>
          <w:sz w:val="32"/>
          <w:szCs w:val="32"/>
        </w:rPr>
        <w:t>年3月11日12：00，邮寄方式按收到时间为准。超出此时间提交的响应文件视为废标。</w:t>
      </w:r>
    </w:p>
    <w:p>
      <w:pPr>
        <w:spacing w:line="480" w:lineRule="auto"/>
        <w:ind w:firstLine="640" w:firstLineChars="200"/>
        <w:rPr>
          <w:rFonts w:ascii="仿宋_GB2312" w:eastAsia="仿宋_GB2312"/>
          <w:bCs/>
          <w:sz w:val="32"/>
          <w:szCs w:val="32"/>
        </w:rPr>
      </w:pPr>
      <w:r>
        <w:rPr>
          <w:rFonts w:hint="eastAsia" w:ascii="仿宋_GB2312" w:eastAsia="仿宋_GB2312"/>
          <w:bCs/>
          <w:sz w:val="32"/>
          <w:szCs w:val="32"/>
        </w:rPr>
        <w:t>(四)资料提交或邮寄地点：许昌市建安大道东段许昌市财政综合楼419室。</w:t>
      </w:r>
    </w:p>
    <w:p>
      <w:pPr>
        <w:spacing w:line="480" w:lineRule="auto"/>
        <w:ind w:firstLine="640" w:firstLineChars="200"/>
        <w:rPr>
          <w:rFonts w:ascii="仿宋_GB2312" w:eastAsia="仿宋_GB2312"/>
          <w:bCs/>
          <w:sz w:val="32"/>
          <w:szCs w:val="32"/>
        </w:rPr>
      </w:pPr>
      <w:r>
        <w:rPr>
          <w:rFonts w:hint="eastAsia" w:ascii="仿宋_GB2312" w:eastAsia="仿宋_GB2312"/>
          <w:bCs/>
          <w:sz w:val="32"/>
          <w:szCs w:val="32"/>
        </w:rPr>
        <w:t>(五)采购人不组织踏勘现场，投标人可自行组织。</w:t>
      </w:r>
    </w:p>
    <w:p>
      <w:pPr>
        <w:spacing w:line="480" w:lineRule="auto"/>
        <w:ind w:firstLine="643" w:firstLineChars="200"/>
        <w:rPr>
          <w:rFonts w:ascii="仿宋_GB2312" w:eastAsia="仿宋_GB2312"/>
          <w:sz w:val="32"/>
          <w:szCs w:val="32"/>
        </w:rPr>
      </w:pPr>
      <w:r>
        <w:rPr>
          <w:rFonts w:hint="eastAsia" w:ascii="仿宋_GB2312" w:eastAsia="仿宋_GB2312"/>
          <w:b/>
          <w:bCs/>
          <w:sz w:val="32"/>
          <w:szCs w:val="32"/>
        </w:rPr>
        <w:t>联系人：</w:t>
      </w:r>
      <w:r>
        <w:rPr>
          <w:rFonts w:hint="eastAsia" w:ascii="仿宋_GB2312" w:eastAsia="仿宋_GB2312"/>
          <w:sz w:val="32"/>
          <w:szCs w:val="32"/>
        </w:rPr>
        <w:t xml:space="preserve">陈先生 </w:t>
      </w:r>
      <w:r>
        <w:rPr>
          <w:rFonts w:hint="eastAsia" w:ascii="仿宋_GB2312" w:eastAsia="仿宋_GB2312"/>
          <w:b/>
          <w:bCs/>
          <w:sz w:val="32"/>
          <w:szCs w:val="32"/>
        </w:rPr>
        <w:t xml:space="preserve">  联系电话：</w:t>
      </w:r>
      <w:r>
        <w:rPr>
          <w:rFonts w:hint="eastAsia" w:ascii="仿宋_GB2312" w:eastAsia="仿宋_GB2312"/>
          <w:sz w:val="32"/>
          <w:szCs w:val="32"/>
        </w:rPr>
        <w:t>0374-2676537</w:t>
      </w:r>
    </w:p>
    <w:p>
      <w:pPr>
        <w:spacing w:line="480" w:lineRule="auto"/>
        <w:rPr>
          <w:rFonts w:ascii="仿宋_GB2312" w:eastAsia="仿宋_GB2312"/>
          <w:sz w:val="32"/>
          <w:szCs w:val="32"/>
        </w:rPr>
      </w:pPr>
      <w:r>
        <w:rPr>
          <w:rFonts w:hint="eastAsia" w:ascii="仿宋_GB2312" w:eastAsia="仿宋_GB2312"/>
          <w:sz w:val="32"/>
          <w:szCs w:val="32"/>
        </w:rPr>
        <w:t xml:space="preserve">                                </w:t>
      </w:r>
    </w:p>
    <w:p>
      <w:pPr>
        <w:spacing w:line="480" w:lineRule="auto"/>
        <w:ind w:right="640"/>
        <w:jc w:val="right"/>
        <w:rPr>
          <w:rFonts w:ascii="仿宋_GB2312" w:eastAsia="仿宋_GB2312"/>
          <w:sz w:val="32"/>
          <w:szCs w:val="32"/>
        </w:rPr>
      </w:pPr>
      <w:r>
        <w:rPr>
          <w:rFonts w:hint="eastAsia" w:ascii="仿宋_GB2312" w:eastAsia="仿宋_GB2312"/>
          <w:sz w:val="32"/>
          <w:szCs w:val="32"/>
        </w:rPr>
        <w:t>许昌市投资集团有限公司</w:t>
      </w:r>
    </w:p>
    <w:p>
      <w:pPr>
        <w:spacing w:line="480" w:lineRule="auto"/>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202</w:t>
      </w:r>
      <w:r>
        <w:rPr>
          <w:rFonts w:hint="eastAsia" w:ascii="仿宋_GB2312" w:eastAsia="仿宋_GB2312"/>
          <w:sz w:val="32"/>
          <w:szCs w:val="32"/>
          <w:lang w:val="en-US" w:eastAsia="zh-CN"/>
        </w:rPr>
        <w:t>4</w:t>
      </w:r>
      <w:bookmarkStart w:id="0" w:name="_GoBack"/>
      <w:bookmarkEnd w:id="0"/>
      <w:r>
        <w:rPr>
          <w:rFonts w:hint="eastAsia" w:ascii="仿宋_GB2312" w:eastAsia="仿宋_GB2312"/>
          <w:sz w:val="32"/>
          <w:szCs w:val="32"/>
        </w:rPr>
        <w:t>年3月6日</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19"/>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460"/>
        <w:rPr>
          <w:rFonts w:cs="微软雅黑"/>
          <w:szCs w:val="28"/>
        </w:rPr>
      </w:pPr>
    </w:p>
    <w:p>
      <w:pPr>
        <w:pStyle w:val="2"/>
        <w:ind w:firstLine="460"/>
        <w:rPr>
          <w:rFonts w:cs="微软雅黑"/>
          <w:szCs w:val="28"/>
        </w:rPr>
      </w:pPr>
    </w:p>
    <w:p>
      <w:pPr>
        <w:pStyle w:val="5"/>
        <w:ind w:left="420" w:firstLine="420"/>
        <w:rPr>
          <w:rFonts w:hint="default" w:hAnsi="宋体" w:cs="微软雅黑"/>
          <w:szCs w:val="28"/>
        </w:rPr>
      </w:pPr>
    </w:p>
    <w:p>
      <w:pPr>
        <w:pStyle w:val="5"/>
        <w:ind w:left="420" w:firstLine="420"/>
        <w:rPr>
          <w:rFonts w:hint="default" w:hAnsi="宋体" w:cs="微软雅黑"/>
          <w:szCs w:val="28"/>
        </w:rPr>
      </w:pPr>
    </w:p>
    <w:p>
      <w:pPr>
        <w:pStyle w:val="5"/>
        <w:ind w:left="420" w:firstLine="420"/>
        <w:rPr>
          <w:rFonts w:hint="default" w:hAnsi="宋体" w:cs="微软雅黑"/>
          <w:szCs w:val="28"/>
        </w:rPr>
      </w:pPr>
    </w:p>
    <w:p>
      <w:pPr>
        <w:pStyle w:val="5"/>
        <w:ind w:left="420" w:firstLine="420"/>
        <w:rPr>
          <w:rFonts w:hint="default"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autoSpaceDE w:val="0"/>
        <w:autoSpaceDN w:val="0"/>
        <w:adjustRightInd w:val="0"/>
        <w:spacing w:line="700" w:lineRule="exact"/>
        <w:jc w:val="left"/>
        <w:rPr>
          <w:sz w:val="28"/>
          <w:szCs w:val="28"/>
        </w:rPr>
      </w:pPr>
    </w:p>
    <w:p>
      <w:pPr>
        <w:pStyle w:val="2"/>
        <w:ind w:firstLine="460"/>
        <w:rPr>
          <w:lang w:eastAsia="zh-CN"/>
        </w:rPr>
      </w:pPr>
    </w:p>
    <w:p>
      <w:pPr>
        <w:pStyle w:val="5"/>
        <w:ind w:left="420" w:firstLine="420"/>
        <w:rPr>
          <w:rFonts w:hint="default"/>
          <w:lang w:eastAsia="zh-CN"/>
        </w:rPr>
      </w:pPr>
    </w:p>
    <w:p>
      <w:pPr>
        <w:pStyle w:val="5"/>
        <w:ind w:left="420" w:firstLine="420"/>
        <w:rPr>
          <w:rFonts w:hint="default"/>
          <w:lang w:eastAsia="zh-CN"/>
        </w:rPr>
      </w:pPr>
    </w:p>
    <w:p>
      <w:pPr>
        <w:pStyle w:val="5"/>
        <w:ind w:left="420" w:firstLine="420"/>
        <w:rPr>
          <w:rFonts w:hint="default"/>
          <w:lang w:eastAsia="zh-CN"/>
        </w:rPr>
      </w:pPr>
    </w:p>
    <w:p>
      <w:pPr>
        <w:autoSpaceDE w:val="0"/>
        <w:autoSpaceDN w:val="0"/>
        <w:adjustRightInd w:val="0"/>
        <w:spacing w:line="700" w:lineRule="exact"/>
        <w:jc w:val="left"/>
        <w:rPr>
          <w:sz w:val="28"/>
          <w:szCs w:val="28"/>
        </w:rPr>
      </w:pPr>
      <w:r>
        <w:rPr>
          <w:rFonts w:hint="eastAsia"/>
          <w:sz w:val="28"/>
          <w:szCs w:val="28"/>
        </w:rPr>
        <w:t>附件1：</w:t>
      </w:r>
    </w:p>
    <w:p>
      <w:pPr>
        <w:autoSpaceDE w:val="0"/>
        <w:autoSpaceDN w:val="0"/>
        <w:adjustRightInd w:val="0"/>
        <w:spacing w:line="700" w:lineRule="exact"/>
        <w:ind w:firstLine="3975" w:firstLineChars="900"/>
        <w:jc w:val="left"/>
        <w:rPr>
          <w:rFonts w:ascii="Arial" w:hAnsi="Arial" w:eastAsia="黑体"/>
          <w:b/>
          <w:sz w:val="44"/>
          <w:szCs w:val="36"/>
        </w:rPr>
      </w:pPr>
      <w:r>
        <w:rPr>
          <w:rFonts w:hint="eastAsia" w:ascii="Arial" w:hAnsi="Arial" w:eastAsia="黑体"/>
          <w:b/>
          <w:sz w:val="44"/>
          <w:szCs w:val="36"/>
        </w:rPr>
        <w:t>评分细则</w:t>
      </w:r>
    </w:p>
    <w:p>
      <w:pPr>
        <w:pStyle w:val="2"/>
        <w:ind w:firstLine="460"/>
        <w:rPr>
          <w:lang w:eastAsia="zh-CN"/>
        </w:rPr>
      </w:pPr>
    </w:p>
    <w:tbl>
      <w:tblPr>
        <w:tblStyle w:val="15"/>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widowControl/>
              <w:spacing w:line="360" w:lineRule="auto"/>
              <w:jc w:val="center"/>
            </w:pPr>
            <w:r>
              <w:rPr>
                <w:rFonts w:hint="eastAsia"/>
              </w:rPr>
              <w:t>实施方案（100分）</w:t>
            </w:r>
          </w:p>
          <w:p>
            <w:pPr>
              <w:pStyle w:val="2"/>
              <w:ind w:firstLine="460"/>
            </w:pPr>
          </w:p>
        </w:tc>
        <w:tc>
          <w:tcPr>
            <w:tcW w:w="1353" w:type="dxa"/>
            <w:vAlign w:val="center"/>
          </w:tcPr>
          <w:p>
            <w:pPr>
              <w:widowControl/>
              <w:spacing w:line="360" w:lineRule="auto"/>
              <w:jc w:val="left"/>
              <w:rPr>
                <w:rFonts w:ascii="宋体" w:hAnsi="宋体"/>
                <w:kern w:val="0"/>
                <w:szCs w:val="21"/>
              </w:rPr>
            </w:pPr>
            <w:r>
              <w:rPr>
                <w:rFonts w:hint="eastAsia" w:ascii="宋体" w:hAnsi="宋体"/>
                <w:kern w:val="0"/>
                <w:szCs w:val="21"/>
              </w:rPr>
              <w:t>项目理解与需求分析（30分）</w:t>
            </w:r>
          </w:p>
        </w:tc>
        <w:tc>
          <w:tcPr>
            <w:tcW w:w="7197" w:type="dxa"/>
            <w:vAlign w:val="center"/>
          </w:tcPr>
          <w:p>
            <w:pPr>
              <w:widowControl/>
              <w:spacing w:line="360" w:lineRule="auto"/>
              <w:jc w:val="left"/>
              <w:rPr>
                <w:rFonts w:ascii="宋体" w:hAnsi="宋体"/>
                <w:kern w:val="0"/>
                <w:szCs w:val="21"/>
              </w:rPr>
            </w:pPr>
            <w:r>
              <w:rPr>
                <w:rFonts w:hint="eastAsia" w:ascii="宋体" w:hAnsi="宋体"/>
                <w:kern w:val="0"/>
                <w:szCs w:val="21"/>
              </w:rPr>
              <w:t>投标人针对本项目采购需求进行综合分析，对本项目的建设背景、需求、现状分析和目标理解充分，对项目的重点、难点分析准确。优得25-30分，良得19-24分，一般得0-18分。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228" w:type="dxa"/>
            <w:vMerge w:val="continue"/>
            <w:vAlign w:val="center"/>
          </w:tcPr>
          <w:p>
            <w:pPr>
              <w:widowControl/>
              <w:spacing w:line="360" w:lineRule="auto"/>
              <w:jc w:val="center"/>
              <w:rPr>
                <w:rFonts w:ascii="宋体" w:hAnsi="宋体"/>
                <w:kern w:val="0"/>
                <w:szCs w:val="21"/>
              </w:rPr>
            </w:pPr>
          </w:p>
        </w:tc>
        <w:tc>
          <w:tcPr>
            <w:tcW w:w="1353" w:type="dxa"/>
            <w:vAlign w:val="center"/>
          </w:tcPr>
          <w:p>
            <w:pPr>
              <w:widowControl/>
              <w:spacing w:line="360" w:lineRule="auto"/>
              <w:jc w:val="left"/>
              <w:rPr>
                <w:rFonts w:ascii="宋体" w:hAnsi="宋体"/>
                <w:kern w:val="0"/>
                <w:szCs w:val="21"/>
              </w:rPr>
            </w:pPr>
            <w:r>
              <w:rPr>
                <w:rFonts w:hint="eastAsia" w:ascii="宋体" w:hAnsi="宋体"/>
                <w:kern w:val="0"/>
                <w:szCs w:val="21"/>
              </w:rPr>
              <w:t>建设方案（50分）</w:t>
            </w:r>
          </w:p>
        </w:tc>
        <w:tc>
          <w:tcPr>
            <w:tcW w:w="7197" w:type="dxa"/>
            <w:vAlign w:val="center"/>
          </w:tcPr>
          <w:p>
            <w:pPr>
              <w:widowControl/>
              <w:spacing w:line="360" w:lineRule="auto"/>
              <w:jc w:val="left"/>
              <w:rPr>
                <w:rFonts w:ascii="宋体" w:hAnsi="宋体"/>
                <w:kern w:val="0"/>
                <w:szCs w:val="21"/>
              </w:rPr>
            </w:pPr>
            <w:r>
              <w:rPr>
                <w:rFonts w:hint="eastAsia" w:ascii="宋体" w:hAnsi="宋体"/>
                <w:kern w:val="0"/>
                <w:szCs w:val="21"/>
              </w:rPr>
              <w:t>对投标人提供的建设内容、技术方案等情况进行综合评定，要求方案阐述详细，思路清晰，可行性强，符合国家标准及实际情况。优得40-50分，良得30-39分，一般得0-29分。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1228" w:type="dxa"/>
            <w:vMerge w:val="continue"/>
            <w:vAlign w:val="center"/>
          </w:tcPr>
          <w:p>
            <w:pPr>
              <w:widowControl/>
              <w:spacing w:line="360" w:lineRule="auto"/>
              <w:jc w:val="left"/>
              <w:rPr>
                <w:rFonts w:ascii="宋体" w:hAnsi="宋体"/>
                <w:kern w:val="0"/>
                <w:szCs w:val="21"/>
              </w:rPr>
            </w:pPr>
          </w:p>
        </w:tc>
        <w:tc>
          <w:tcPr>
            <w:tcW w:w="1353" w:type="dxa"/>
            <w:vAlign w:val="center"/>
          </w:tcPr>
          <w:p>
            <w:pPr>
              <w:widowControl/>
              <w:spacing w:line="360" w:lineRule="auto"/>
              <w:jc w:val="left"/>
              <w:rPr>
                <w:rFonts w:ascii="宋体" w:hAnsi="宋体"/>
                <w:kern w:val="0"/>
                <w:szCs w:val="21"/>
              </w:rPr>
            </w:pPr>
            <w:r>
              <w:rPr>
                <w:rFonts w:hint="eastAsia" w:ascii="宋体" w:hAnsi="宋体" w:eastAsia="宋体" w:cs="Times New Roman"/>
                <w:kern w:val="0"/>
                <w:szCs w:val="21"/>
              </w:rPr>
              <w:t>服务及管理（</w:t>
            </w:r>
            <w:r>
              <w:rPr>
                <w:rFonts w:hint="eastAsia" w:ascii="宋体" w:hAnsi="宋体" w:cs="Times New Roman"/>
                <w:kern w:val="0"/>
                <w:szCs w:val="21"/>
              </w:rPr>
              <w:t>20</w:t>
            </w:r>
            <w:r>
              <w:rPr>
                <w:rFonts w:hint="eastAsia" w:ascii="宋体" w:hAnsi="宋体" w:eastAsia="宋体" w:cs="Times New Roman"/>
                <w:kern w:val="0"/>
                <w:szCs w:val="21"/>
              </w:rPr>
              <w:t>分）</w:t>
            </w:r>
          </w:p>
        </w:tc>
        <w:tc>
          <w:tcPr>
            <w:tcW w:w="7197" w:type="dxa"/>
            <w:vAlign w:val="center"/>
          </w:tcPr>
          <w:p>
            <w:pPr>
              <w:widowControl/>
              <w:spacing w:line="360" w:lineRule="auto"/>
              <w:jc w:val="left"/>
              <w:rPr>
                <w:rFonts w:ascii="宋体" w:hAnsi="宋体"/>
                <w:kern w:val="0"/>
                <w:szCs w:val="21"/>
              </w:rPr>
            </w:pPr>
            <w:r>
              <w:rPr>
                <w:rFonts w:hint="eastAsia" w:ascii="宋体" w:hAnsi="宋体" w:eastAsia="宋体" w:cs="Times New Roman"/>
                <w:kern w:val="0"/>
                <w:szCs w:val="21"/>
              </w:rPr>
              <w:t>对系统的后期服务及管理措施进行综合研判，确保系统运行稳定。优得16-</w:t>
            </w:r>
            <w:r>
              <w:rPr>
                <w:rFonts w:hint="eastAsia" w:ascii="宋体" w:hAnsi="宋体" w:cs="Times New Roman"/>
                <w:kern w:val="0"/>
                <w:szCs w:val="21"/>
              </w:rPr>
              <w:t>20</w:t>
            </w:r>
            <w:r>
              <w:rPr>
                <w:rFonts w:hint="eastAsia" w:ascii="宋体" w:hAnsi="宋体" w:eastAsia="宋体" w:cs="Times New Roman"/>
                <w:kern w:val="0"/>
                <w:szCs w:val="21"/>
              </w:rPr>
              <w:t>分，良得</w:t>
            </w:r>
            <w:r>
              <w:rPr>
                <w:rFonts w:hint="eastAsia" w:ascii="宋体" w:hAnsi="宋体" w:cs="Times New Roman"/>
                <w:kern w:val="0"/>
                <w:szCs w:val="21"/>
              </w:rPr>
              <w:t>13-15</w:t>
            </w:r>
            <w:r>
              <w:rPr>
                <w:rFonts w:hint="eastAsia" w:ascii="宋体" w:hAnsi="宋体" w:eastAsia="宋体" w:cs="Times New Roman"/>
                <w:kern w:val="0"/>
                <w:szCs w:val="21"/>
              </w:rPr>
              <w:t>分，一般得</w:t>
            </w:r>
            <w:r>
              <w:rPr>
                <w:rFonts w:hint="eastAsia" w:ascii="宋体" w:hAnsi="宋体" w:cs="Times New Roman"/>
                <w:kern w:val="0"/>
                <w:szCs w:val="21"/>
              </w:rPr>
              <w:t>0-14</w:t>
            </w:r>
            <w:r>
              <w:rPr>
                <w:rFonts w:hint="eastAsia" w:ascii="宋体" w:hAnsi="宋体" w:eastAsia="宋体" w:cs="Times New Roman"/>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581" w:type="dxa"/>
            <w:gridSpan w:val="2"/>
            <w:vAlign w:val="center"/>
          </w:tcPr>
          <w:p>
            <w:pPr>
              <w:widowControl/>
              <w:spacing w:line="360" w:lineRule="auto"/>
              <w:jc w:val="center"/>
              <w:rPr>
                <w:rFonts w:ascii="宋体" w:hAnsi="宋体"/>
                <w:kern w:val="0"/>
                <w:szCs w:val="21"/>
              </w:rPr>
            </w:pPr>
            <w:r>
              <w:rPr>
                <w:rFonts w:hint="eastAsia" w:ascii="宋体" w:hAnsi="宋体"/>
                <w:kern w:val="0"/>
                <w:szCs w:val="21"/>
              </w:rPr>
              <w:t>最终得分</w:t>
            </w:r>
          </w:p>
        </w:tc>
        <w:tc>
          <w:tcPr>
            <w:tcW w:w="7197" w:type="dxa"/>
          </w:tcPr>
          <w:p>
            <w:pPr>
              <w:widowControl/>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widowControl/>
              <w:spacing w:line="360" w:lineRule="auto"/>
              <w:jc w:val="left"/>
            </w:pPr>
            <w:r>
              <w:rPr>
                <w:rFonts w:hint="eastAsia" w:ascii="宋体" w:hAnsi="宋体" w:eastAsia="宋体" w:cs="Times New Roman"/>
                <w:kern w:val="0"/>
                <w:szCs w:val="21"/>
              </w:rPr>
              <w:t>投标人的最终得分：将各位评标专家评分分数的算术平均值作为该投标人的最终得分，保留一位小数。</w:t>
            </w:r>
          </w:p>
        </w:tc>
      </w:tr>
    </w:tbl>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r>
        <w:rPr>
          <w:rFonts w:eastAsia="仿宋_GB2312"/>
          <w:sz w:val="32"/>
          <w:szCs w:val="32"/>
          <w:lang w:eastAsia="zh-CN"/>
        </w:rPr>
        <w:t>附件2：</w:t>
      </w:r>
    </w:p>
    <w:p>
      <w:pPr>
        <w:pStyle w:val="9"/>
        <w:jc w:val="center"/>
        <w:rPr>
          <w:sz w:val="44"/>
          <w:szCs w:val="36"/>
        </w:rPr>
      </w:pPr>
      <w:r>
        <w:rPr>
          <w:rFonts w:hint="eastAsia"/>
          <w:sz w:val="44"/>
          <w:szCs w:val="36"/>
        </w:rPr>
        <w:t>许昌市投资集团有限公司“中原电气实验室中控系统平台”项目投标报价表</w:t>
      </w:r>
    </w:p>
    <w:p>
      <w:pPr>
        <w:pStyle w:val="11"/>
        <w:spacing w:line="560" w:lineRule="exact"/>
        <w:jc w:val="center"/>
        <w:rPr>
          <w:rFonts w:ascii="华文中宋" w:hAnsi="华文中宋" w:eastAsia="华文中宋" w:cs="华文中宋"/>
          <w:b/>
          <w:snapToGrid w:val="0"/>
          <w:kern w:val="0"/>
          <w:sz w:val="44"/>
          <w:szCs w:val="44"/>
        </w:rPr>
      </w:pPr>
    </w:p>
    <w:p>
      <w:pPr>
        <w:spacing w:line="480" w:lineRule="auto"/>
        <w:ind w:firstLine="1120" w:firstLineChars="400"/>
        <w:contextualSpacing/>
        <w:jc w:val="right"/>
        <w:rPr>
          <w:rFonts w:cs="Arial" w:asciiTheme="minorEastAsia" w:hAnsiTheme="minorEastAsia"/>
          <w:sz w:val="28"/>
          <w:szCs w:val="28"/>
        </w:rPr>
      </w:pPr>
    </w:p>
    <w:p>
      <w:pPr>
        <w:spacing w:line="480" w:lineRule="auto"/>
        <w:ind w:firstLine="1120" w:firstLineChars="400"/>
        <w:contextualSpacing/>
        <w:jc w:val="right"/>
        <w:rPr>
          <w:rFonts w:cs="Arial" w:asciiTheme="minorEastAsia" w:hAnsiTheme="minorEastAsia"/>
          <w:sz w:val="28"/>
          <w:szCs w:val="28"/>
        </w:rPr>
      </w:pPr>
      <w:r>
        <w:rPr>
          <w:rFonts w:hint="eastAsia" w:cs="Arial" w:asciiTheme="minorEastAsia" w:hAnsiTheme="minorEastAsia"/>
          <w:sz w:val="28"/>
          <w:szCs w:val="28"/>
        </w:rPr>
        <w:t>单位：元（人民币）</w:t>
      </w:r>
    </w:p>
    <w:p>
      <w:pPr>
        <w:pStyle w:val="2"/>
        <w:ind w:firstLine="460"/>
        <w:rPr>
          <w:lang w:eastAsia="zh-CN"/>
        </w:rPr>
      </w:pPr>
    </w:p>
    <w:tbl>
      <w:tblPr>
        <w:tblStyle w:val="15"/>
        <w:tblW w:w="10173" w:type="dxa"/>
        <w:tblInd w:w="0" w:type="dxa"/>
        <w:tblLayout w:type="fixed"/>
        <w:tblCellMar>
          <w:top w:w="0" w:type="dxa"/>
          <w:left w:w="108" w:type="dxa"/>
          <w:bottom w:w="0" w:type="dxa"/>
          <w:right w:w="108" w:type="dxa"/>
        </w:tblCellMar>
      </w:tblPr>
      <w:tblGrid>
        <w:gridCol w:w="2802"/>
        <w:gridCol w:w="4394"/>
        <w:gridCol w:w="2977"/>
      </w:tblGrid>
      <w:tr>
        <w:tblPrEx>
          <w:tblCellMar>
            <w:top w:w="0" w:type="dxa"/>
            <w:left w:w="108" w:type="dxa"/>
            <w:bottom w:w="0" w:type="dxa"/>
            <w:right w:w="108" w:type="dxa"/>
          </w:tblCellMar>
        </w:tblPrEx>
        <w:trPr>
          <w:trHeight w:val="851" w:hRule="atLeast"/>
        </w:trPr>
        <w:tc>
          <w:tcPr>
            <w:tcW w:w="2802"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4394"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投标报价</w:t>
            </w:r>
          </w:p>
        </w:tc>
        <w:tc>
          <w:tcPr>
            <w:tcW w:w="297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1748" w:hRule="atLeast"/>
        </w:trPr>
        <w:tc>
          <w:tcPr>
            <w:tcW w:w="2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eastAsia="宋体" w:asciiTheme="minorEastAsia" w:hAnsiTheme="minorEastAsia"/>
                <w:sz w:val="28"/>
                <w:szCs w:val="28"/>
              </w:rPr>
            </w:pPr>
            <w:r>
              <w:rPr>
                <w:rFonts w:hint="eastAsia" w:asciiTheme="minorEastAsia" w:hAnsiTheme="minorEastAsia"/>
                <w:sz w:val="28"/>
                <w:szCs w:val="28"/>
              </w:rPr>
              <w:t>中原电气实验室中控系统平台</w:t>
            </w:r>
          </w:p>
        </w:tc>
        <w:tc>
          <w:tcPr>
            <w:tcW w:w="439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pPr>
              <w:autoSpaceDE w:val="0"/>
              <w:autoSpaceDN w:val="0"/>
              <w:adjustRightInd w:val="0"/>
              <w:spacing w:line="360" w:lineRule="auto"/>
              <w:jc w:val="left"/>
              <w:rPr>
                <w:rFonts w:eastAsia="宋体" w:cs="宋体" w:asciiTheme="minorEastAsia" w:hAnsiTheme="minorEastAsia"/>
                <w:sz w:val="28"/>
                <w:szCs w:val="28"/>
              </w:rPr>
            </w:pPr>
            <w:r>
              <w:rPr>
                <w:rFonts w:hint="eastAsia" w:cs="宋体" w:asciiTheme="minorEastAsia" w:hAnsiTheme="minorEastAsia"/>
                <w:sz w:val="24"/>
                <w:szCs w:val="24"/>
                <w:lang w:val="zh-CN"/>
              </w:rPr>
              <w:t>小写：</w:t>
            </w:r>
          </w:p>
        </w:tc>
        <w:tc>
          <w:tcPr>
            <w:tcW w:w="29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ind w:firstLine="240"/>
              <w:jc w:val="center"/>
              <w:rPr>
                <w:rFonts w:cs="宋体" w:asciiTheme="minorEastAsia" w:hAnsiTheme="minorEastAsia"/>
                <w:sz w:val="28"/>
                <w:szCs w:val="28"/>
                <w:lang w:val="zh-CN"/>
              </w:rPr>
            </w:pPr>
          </w:p>
        </w:tc>
      </w:tr>
    </w:tbl>
    <w:p>
      <w:pPr>
        <w:autoSpaceDE w:val="0"/>
        <w:autoSpaceDN w:val="0"/>
        <w:adjustRightInd w:val="0"/>
        <w:spacing w:line="360" w:lineRule="auto"/>
        <w:rPr>
          <w:rFonts w:cs="宋体" w:asciiTheme="minorEastAsia" w:hAnsiTheme="minorEastAsia"/>
          <w:sz w:val="28"/>
          <w:szCs w:val="28"/>
        </w:rPr>
      </w:pPr>
    </w:p>
    <w:p>
      <w:pPr>
        <w:autoSpaceDE w:val="0"/>
        <w:autoSpaceDN w:val="0"/>
        <w:adjustRightInd w:val="0"/>
        <w:spacing w:line="360" w:lineRule="auto"/>
        <w:ind w:firstLine="4060" w:firstLineChars="1450"/>
        <w:rPr>
          <w:rFonts w:eastAsia="宋体" w:cs="宋体" w:asciiTheme="minorEastAsia" w:hAnsiTheme="minorEastAsia"/>
          <w:sz w:val="28"/>
          <w:szCs w:val="28"/>
        </w:rPr>
      </w:pPr>
      <w:r>
        <w:rPr>
          <w:rFonts w:hint="eastAsia" w:cs="宋体" w:asciiTheme="minorEastAsia" w:hAnsiTheme="minorEastAsia"/>
          <w:sz w:val="28"/>
          <w:szCs w:val="28"/>
        </w:rPr>
        <w:t>投标单位</w:t>
      </w:r>
      <w:r>
        <w:rPr>
          <w:rFonts w:hint="eastAsia" w:cs="宋体" w:asciiTheme="minorEastAsia" w:hAnsiTheme="minorEastAsia"/>
          <w:sz w:val="28"/>
          <w:szCs w:val="28"/>
          <w:lang w:val="zh-CN"/>
        </w:rPr>
        <w:t>名称：</w:t>
      </w:r>
    </w:p>
    <w:p>
      <w:pPr>
        <w:autoSpaceDE w:val="0"/>
        <w:autoSpaceDN w:val="0"/>
        <w:adjustRightInd w:val="0"/>
        <w:spacing w:line="480" w:lineRule="auto"/>
        <w:ind w:firstLine="4060" w:firstLineChars="1450"/>
        <w:rPr>
          <w:rFonts w:cs="宋体" w:asciiTheme="minorEastAsia" w:hAnsiTheme="minorEastAsia"/>
          <w:sz w:val="28"/>
          <w:szCs w:val="28"/>
          <w:lang w:val="zh-CN"/>
        </w:rPr>
      </w:pPr>
      <w:r>
        <w:rPr>
          <w:rFonts w:hint="eastAsia" w:cs="宋体" w:asciiTheme="minorEastAsia" w:hAnsiTheme="minorEastAsia"/>
          <w:sz w:val="28"/>
          <w:szCs w:val="28"/>
          <w:lang w:val="zh-CN"/>
        </w:rPr>
        <w:t>日</w:t>
      </w:r>
      <w:r>
        <w:rPr>
          <w:rFonts w:hint="eastAsia" w:cs="宋体" w:asciiTheme="minorEastAsia" w:hAnsiTheme="minorEastAsia"/>
          <w:sz w:val="28"/>
          <w:szCs w:val="28"/>
        </w:rPr>
        <w:t xml:space="preserve">        </w:t>
      </w:r>
      <w:r>
        <w:rPr>
          <w:rFonts w:hint="eastAsia" w:cs="宋体" w:asciiTheme="minorEastAsia" w:hAnsiTheme="minorEastAsia"/>
          <w:sz w:val="28"/>
          <w:szCs w:val="28"/>
          <w:lang w:val="zh-CN"/>
        </w:rPr>
        <w:t>期：</w:t>
      </w: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r>
        <w:rPr>
          <w:rFonts w:eastAsia="仿宋_GB2312"/>
          <w:sz w:val="32"/>
          <w:szCs w:val="32"/>
          <w:lang w:eastAsia="zh-CN"/>
        </w:rPr>
        <w:t>附件3</w:t>
      </w:r>
    </w:p>
    <w:tbl>
      <w:tblPr>
        <w:tblStyle w:val="15"/>
        <w:tblW w:w="10791" w:type="dxa"/>
        <w:tblInd w:w="90" w:type="dxa"/>
        <w:tblLayout w:type="fixed"/>
        <w:tblCellMar>
          <w:top w:w="0" w:type="dxa"/>
          <w:left w:w="108" w:type="dxa"/>
          <w:bottom w:w="0" w:type="dxa"/>
          <w:right w:w="108" w:type="dxa"/>
        </w:tblCellMar>
      </w:tblPr>
      <w:tblGrid>
        <w:gridCol w:w="585"/>
        <w:gridCol w:w="993"/>
        <w:gridCol w:w="708"/>
        <w:gridCol w:w="993"/>
        <w:gridCol w:w="4394"/>
        <w:gridCol w:w="992"/>
        <w:gridCol w:w="992"/>
        <w:gridCol w:w="1134"/>
      </w:tblGrid>
      <w:tr>
        <w:tblPrEx>
          <w:tblCellMar>
            <w:top w:w="0" w:type="dxa"/>
            <w:left w:w="108" w:type="dxa"/>
            <w:bottom w:w="0" w:type="dxa"/>
            <w:right w:w="108" w:type="dxa"/>
          </w:tblCellMar>
        </w:tblPrEx>
        <w:trPr>
          <w:trHeight w:val="675" w:hRule="atLeast"/>
        </w:trPr>
        <w:tc>
          <w:tcPr>
            <w:tcW w:w="10791" w:type="dxa"/>
            <w:gridSpan w:val="8"/>
            <w:tcBorders>
              <w:top w:val="nil"/>
              <w:left w:val="nil"/>
              <w:bottom w:val="single" w:color="auto" w:sz="4" w:space="0"/>
              <w:right w:val="nil"/>
            </w:tcBorders>
            <w:shd w:val="clear" w:color="auto" w:fill="auto"/>
            <w:noWrap/>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中原电气实验室中控系统平台投标价详表</w:t>
            </w:r>
          </w:p>
        </w:tc>
      </w:tr>
      <w:tr>
        <w:tblPrEx>
          <w:tblCellMar>
            <w:top w:w="0" w:type="dxa"/>
            <w:left w:w="108" w:type="dxa"/>
            <w:bottom w:w="0" w:type="dxa"/>
            <w:right w:w="108" w:type="dxa"/>
          </w:tblCellMar>
        </w:tblPrEx>
        <w:trPr>
          <w:trHeight w:val="510"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序号</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品牌</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数量</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参数</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金额（元）</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备注</w:t>
            </w:r>
          </w:p>
        </w:tc>
      </w:tr>
      <w:tr>
        <w:tblPrEx>
          <w:tblCellMar>
            <w:top w:w="0" w:type="dxa"/>
            <w:left w:w="108" w:type="dxa"/>
            <w:bottom w:w="0" w:type="dxa"/>
            <w:right w:w="108" w:type="dxa"/>
          </w:tblCellMar>
        </w:tblPrEx>
        <w:trPr>
          <w:trHeight w:val="510"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数据专线</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50M光纤</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研发中心+年费</w:t>
            </w:r>
          </w:p>
        </w:tc>
      </w:tr>
      <w:tr>
        <w:tblPrEx>
          <w:tblCellMar>
            <w:top w:w="0" w:type="dxa"/>
            <w:left w:w="108" w:type="dxa"/>
            <w:bottom w:w="0" w:type="dxa"/>
            <w:right w:w="108" w:type="dxa"/>
          </w:tblCellMar>
        </w:tblPrEx>
        <w:trPr>
          <w:trHeight w:val="510"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数据专线</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10M光纤、固定ip</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研发中心+年费</w:t>
            </w:r>
          </w:p>
        </w:tc>
      </w:tr>
      <w:tr>
        <w:tblPrEx>
          <w:tblCellMar>
            <w:top w:w="0" w:type="dxa"/>
            <w:left w:w="108" w:type="dxa"/>
            <w:bottom w:w="0" w:type="dxa"/>
            <w:right w:w="108" w:type="dxa"/>
          </w:tblCellMar>
        </w:tblPrEx>
        <w:trPr>
          <w:trHeight w:val="585"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数据专线</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100M光纤、固定ip</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总部+年费</w:t>
            </w:r>
          </w:p>
        </w:tc>
      </w:tr>
      <w:tr>
        <w:tblPrEx>
          <w:tblCellMar>
            <w:top w:w="0" w:type="dxa"/>
            <w:left w:w="108" w:type="dxa"/>
            <w:bottom w:w="0" w:type="dxa"/>
            <w:right w:w="108" w:type="dxa"/>
          </w:tblCellMar>
        </w:tblPrEx>
        <w:trPr>
          <w:trHeight w:val="870"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会议系统及中控平台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1、视讯主机、2、1080P及以上摄像机、麦克风分离的分体式终端，1080P及以上高清输入和全高清视频输出、1080P双流高清协作，麦克风。3、会议控制平台</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一总两分会议及中控主机+年费</w:t>
            </w:r>
          </w:p>
        </w:tc>
      </w:tr>
      <w:tr>
        <w:tblPrEx>
          <w:tblCellMar>
            <w:top w:w="0" w:type="dxa"/>
            <w:left w:w="108" w:type="dxa"/>
            <w:bottom w:w="0" w:type="dxa"/>
            <w:right w:w="108" w:type="dxa"/>
          </w:tblCellMar>
        </w:tblPrEx>
        <w:trPr>
          <w:trHeight w:val="765"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交换机</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端口数量:20个以上，至少含4个1000Base-X SFP千兆以太网端口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ind w:firstLine="180" w:firstLineChars="100"/>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总部</w:t>
            </w:r>
          </w:p>
        </w:tc>
      </w:tr>
      <w:tr>
        <w:tblPrEx>
          <w:tblCellMar>
            <w:top w:w="0" w:type="dxa"/>
            <w:left w:w="108" w:type="dxa"/>
            <w:bottom w:w="0" w:type="dxa"/>
            <w:right w:w="108" w:type="dxa"/>
          </w:tblCellMar>
        </w:tblPrEx>
        <w:trPr>
          <w:trHeight w:val="720"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交换机</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上行及下行端口速率：千兆</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端口数量：10口及以上</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研发中心</w:t>
            </w:r>
          </w:p>
        </w:tc>
      </w:tr>
      <w:tr>
        <w:tblPrEx>
          <w:tblCellMar>
            <w:top w:w="0" w:type="dxa"/>
            <w:left w:w="108" w:type="dxa"/>
            <w:bottom w:w="0" w:type="dxa"/>
            <w:right w:w="108" w:type="dxa"/>
          </w:tblCellMar>
        </w:tblPrEx>
        <w:trPr>
          <w:trHeight w:val="6599"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NVR硬盘录像机</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394" w:type="dxa"/>
            <w:tcBorders>
              <w:top w:val="nil"/>
              <w:left w:val="nil"/>
              <w:bottom w:val="single" w:color="auto" w:sz="4" w:space="0"/>
              <w:right w:val="single" w:color="auto" w:sz="4" w:space="0"/>
            </w:tcBorders>
            <w:shd w:val="clear" w:color="auto" w:fill="auto"/>
            <w:vAlign w:val="center"/>
          </w:tcPr>
          <w:p>
            <w:pPr>
              <w:widowControl/>
              <w:spacing w:after="240"/>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1、支持接入IPC分辨率8MP/6MP/5MP/4MP/3MP/1080P/UXGA/720P/VGA/4CIF/DCIF/2CIF/CIF/QCIF</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2、支持不少于20路高清IPC网络视频接入</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3、支持不少于4路1080P/8路720P/20路4CIF同时预览</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4、支持多画面（不少于24幅）预览</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5、支持硬盘接口，单块最大10TB</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6、支持HDMI/1个VGA视频输出(同源)</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7、支持自适应H.265/H.264压缩标准</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8、带宽:接入带宽80Mbps;转发带宽80Mbps</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9、支持驳接Onvif协议网络前端，GB/T28181标准对接平台</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10、支持智能录像，不同时间段采用不同码流进行录像</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11、支持P2P手机浏览，手机客户端与前端直接对讲，抽帧录像，VGA输出分辨率自适应，录像回放进度条预览，预览画面自由拖动，一键控制、一键对讲、一键录像、一键添加，录像备份为MP4格式，多路录像倒放功能，重要录像文件加锁功能，回放添加标签，按标签查询和回放录像文件，支持视频加密。</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ind w:firstLine="180" w:firstLineChars="100"/>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总部</w:t>
            </w:r>
          </w:p>
        </w:tc>
      </w:tr>
      <w:tr>
        <w:tblPrEx>
          <w:tblCellMar>
            <w:top w:w="0" w:type="dxa"/>
            <w:left w:w="108" w:type="dxa"/>
            <w:bottom w:w="0" w:type="dxa"/>
            <w:right w:w="108" w:type="dxa"/>
          </w:tblCellMar>
        </w:tblPrEx>
        <w:trPr>
          <w:trHeight w:val="848"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无线话筒主机+话筒</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1、主机+双无线话筒，可红外对频；</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2、支持音箱、功放、DVD、扩音器、KTV家庭影院、户外音响大巴车等带有6.5/3.5MM话筒接口的设备，支持UHF频段；</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3、话筒LED屏显，电量显示；</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4、防啸叫，抗干扰，不断频，不失真。</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ind w:firstLine="180" w:firstLineChars="100"/>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总部</w:t>
            </w:r>
          </w:p>
        </w:tc>
      </w:tr>
      <w:tr>
        <w:tblPrEx>
          <w:tblCellMar>
            <w:top w:w="0" w:type="dxa"/>
            <w:left w:w="108" w:type="dxa"/>
            <w:bottom w:w="0" w:type="dxa"/>
            <w:right w:w="108" w:type="dxa"/>
          </w:tblCellMar>
        </w:tblPrEx>
        <w:trPr>
          <w:trHeight w:val="450"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9</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视频融合设备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微型计算机，不低于四核、DDR4 8G、256G.</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省实验总部</w:t>
            </w:r>
          </w:p>
        </w:tc>
      </w:tr>
      <w:tr>
        <w:tblPrEx>
          <w:tblCellMar>
            <w:top w:w="0" w:type="dxa"/>
            <w:left w:w="108" w:type="dxa"/>
            <w:bottom w:w="0" w:type="dxa"/>
            <w:right w:w="108" w:type="dxa"/>
          </w:tblCellMar>
        </w:tblPrEx>
        <w:trPr>
          <w:trHeight w:val="615" w:hRule="atLeast"/>
        </w:trPr>
        <w:tc>
          <w:tcPr>
            <w:tcW w:w="5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集成费</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集成费</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r>
      <w:tr>
        <w:tblPrEx>
          <w:tblCellMar>
            <w:top w:w="0" w:type="dxa"/>
            <w:left w:w="108" w:type="dxa"/>
            <w:bottom w:w="0" w:type="dxa"/>
            <w:right w:w="108" w:type="dxa"/>
          </w:tblCellMar>
        </w:tblPrEx>
        <w:trPr>
          <w:trHeight w:val="615" w:hRule="atLeast"/>
        </w:trPr>
        <w:tc>
          <w:tcPr>
            <w:tcW w:w="8665"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微软雅黑" w:hAnsi="微软雅黑" w:eastAsia="微软雅黑" w:cs="宋体"/>
                <w:color w:val="000000"/>
                <w:kern w:val="0"/>
                <w:sz w:val="22"/>
              </w:rPr>
            </w:pPr>
            <w:r>
              <w:rPr>
                <w:rFonts w:hint="eastAsia" w:ascii="微软雅黑" w:hAnsi="微软雅黑" w:eastAsia="微软雅黑" w:cs="宋体"/>
                <w:color w:val="000000"/>
                <w:kern w:val="0"/>
                <w:sz w:val="22"/>
              </w:rPr>
              <w:t>合计</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bl>
    <w:p>
      <w:pPr>
        <w:pStyle w:val="5"/>
        <w:spacing w:before="100" w:after="100"/>
        <w:ind w:left="0" w:leftChars="0" w:firstLine="0" w:firstLineChars="0"/>
        <w:rPr>
          <w:rFonts w:hint="default" w:eastAsia="仿宋_GB2312"/>
          <w:sz w:val="32"/>
          <w:szCs w:val="32"/>
          <w:lang w:eastAsia="zh-CN"/>
        </w:rPr>
      </w:pPr>
      <w:r>
        <w:rPr>
          <w:rFonts w:eastAsia="仿宋_GB2312"/>
          <w:sz w:val="32"/>
          <w:szCs w:val="32"/>
          <w:lang w:eastAsia="zh-CN"/>
        </w:rPr>
        <w:t>备注：由投标单位填报表格空余部分，参数根据品牌填报，其余项目不可变动，不能增加新项目。可另制表格。</w:t>
      </w:r>
    </w:p>
    <w:p>
      <w:pPr>
        <w:pStyle w:val="5"/>
        <w:spacing w:before="100" w:after="100"/>
        <w:ind w:left="0" w:leftChars="0" w:firstLine="0" w:firstLineChars="0"/>
        <w:rPr>
          <w:rFonts w:hint="default" w:eastAsia="仿宋_GB2312"/>
          <w:b/>
          <w:sz w:val="32"/>
          <w:szCs w:val="32"/>
          <w:lang w:eastAsia="zh-CN"/>
        </w:rPr>
      </w:pPr>
      <w:r>
        <w:rPr>
          <w:rFonts w:hint="default" w:eastAsia="仿宋_GB2312"/>
          <w:b/>
          <w:sz w:val="32"/>
          <w:szCs w:val="32"/>
          <w:lang w:eastAsia="zh-CN"/>
        </w:rPr>
        <w:t>参考方案（仅供参考，不需附在投标方案中）：</w:t>
      </w:r>
    </w:p>
    <w:p>
      <w:pPr>
        <w:pStyle w:val="5"/>
        <w:spacing w:before="100" w:after="100"/>
        <w:ind w:left="0" w:leftChars="0" w:firstLine="0" w:firstLineChars="0"/>
        <w:rPr>
          <w:rFonts w:hint="default" w:eastAsia="仿宋_GB2312"/>
          <w:sz w:val="32"/>
          <w:szCs w:val="32"/>
          <w:lang w:eastAsia="zh-CN"/>
        </w:rPr>
      </w:pPr>
      <w:r>
        <w:rPr>
          <w:rFonts w:eastAsia="仿宋_GB2312"/>
          <w:sz w:val="32"/>
          <w:szCs w:val="32"/>
          <w:lang w:eastAsia="zh-CN"/>
        </w:rPr>
        <w:drawing>
          <wp:inline distT="0" distB="0" distL="0" distR="0">
            <wp:extent cx="6173470" cy="3295015"/>
            <wp:effectExtent l="19050" t="0" r="0" b="0"/>
            <wp:docPr id="3" name="对象 3"/>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0" y="0"/>
                      <a:ext cx="10587561" cy="3522864"/>
                      <a:chOff x="985805" y="2281913"/>
                      <a:chExt cx="10587561" cy="3522864"/>
                    </a:xfrm>
                  </a:grpSpPr>
                  <a:pic>
                    <a:nvPicPr>
                      <a:cNvPr id="88" name="图片 4"/>
                      <a:cNvPicPr>
                        <a:picLocks noChangeAspect="1"/>
                      </a:cNvPicPr>
                    </a:nvPicPr>
                    <a:blipFill>
                      <a:blip r:embed="rId4" cstate="print"/>
                      <a:stretch>
                        <a:fillRect/>
                      </a:stretch>
                    </a:blipFill>
                    <a:spPr>
                      <a:xfrm>
                        <a:off x="4623589" y="2801739"/>
                        <a:ext cx="1364917" cy="790662"/>
                      </a:xfrm>
                      <a:prstGeom prst="rect">
                        <a:avLst/>
                      </a:prstGeom>
                      <a:noFill/>
                      <a:ln w="9525">
                        <a:noFill/>
                      </a:ln>
                    </a:spPr>
                  </a:pic>
                  <a:grpSp>
                    <a:nvGrpSpPr>
                      <a:cNvPr id="89" name="组合 88"/>
                      <a:cNvGrpSpPr/>
                    </a:nvGrpSpPr>
                    <a:grpSpPr>
                      <a:xfrm>
                        <a:off x="4551770" y="2281913"/>
                        <a:ext cx="2843081" cy="1654832"/>
                        <a:chOff x="7750933" y="964768"/>
                        <a:chExt cx="2843081" cy="1414748"/>
                      </a:xfrm>
                    </a:grpSpPr>
                    <a:sp>
                      <a:nvSpPr>
                        <a:cNvPr id="90" name="矩形: 圆角 2"/>
                        <a:cNvSpPr/>
                      </a:nvSpPr>
                      <a:spPr>
                        <a:xfrm>
                          <a:off x="7750933" y="1144465"/>
                          <a:ext cx="2843081" cy="1235051"/>
                        </a:xfrm>
                        <a:prstGeom prst="roundRect">
                          <a:avLst>
                            <a:gd name="adj" fmla="val 16667"/>
                          </a:avLst>
                        </a:prstGeom>
                        <a:noFill/>
                        <a:ln w="19050" cap="flat" cmpd="sng">
                          <a:solidFill>
                            <a:schemeClr val="accent1">
                              <a:lumMod val="75000"/>
                            </a:schemeClr>
                          </a:solidFill>
                          <a:prstDash val="dash"/>
                          <a:bevel/>
                          <a:headEnd type="none" w="med" len="med"/>
                          <a:tailEnd type="none" w="med" len="med"/>
                        </a:ln>
                      </a:spPr>
                      <a:txSp>
                        <a:txBody>
                          <a:bodyPr wrap="none" anchor="ct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defTabSz="457200"/>
                            <a:endParaRPr lang="zh-CN" altLang="en-US" sz="2000" dirty="0">
                              <a:solidFill>
                                <a:srgbClr val="000000"/>
                              </a:solidFill>
                              <a:latin typeface="微软雅黑" panose="020B0503020204020204" pitchFamily="2" charset="-122"/>
                              <a:ea typeface="微软雅黑" panose="020B0503020204020204" pitchFamily="2" charset="-122"/>
                            </a:endParaRPr>
                          </a:p>
                        </a:txBody>
                        <a:useSpRect/>
                      </a:txSp>
                    </a:sp>
                    <a:sp>
                      <a:nvSpPr>
                        <a:cNvPr id="91" name="文本框 90"/>
                        <a:cNvSpPr txBox="1"/>
                      </a:nvSpPr>
                      <a:spPr>
                        <a:xfrm>
                          <a:off x="8564129" y="964768"/>
                          <a:ext cx="1706765" cy="262208"/>
                        </a:xfrm>
                        <a:prstGeom prst="rect">
                          <a:avLst/>
                        </a:prstGeom>
                        <a:solidFill>
                          <a:schemeClr val="tx2">
                            <a:lumMod val="60000"/>
                            <a:lumOff val="40000"/>
                          </a:schemeClr>
                        </a:solidFill>
                      </a:spPr>
                      <a:txSp>
                        <a:txBody>
                          <a:bodyPr wrap="square" rtlCol="0">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zh-CN" altLang="en-US" sz="1400" b="1" dirty="0" smtClean="0">
                                <a:latin typeface="微软雅黑" panose="020B0503020204020204" pitchFamily="2" charset="-122"/>
                                <a:ea typeface="微软雅黑" panose="020B0503020204020204" pitchFamily="2" charset="-122"/>
                              </a:rPr>
                              <a:t>实验室总部</a:t>
                            </a:r>
                            <a:endParaRPr lang="zh-CN" altLang="en-US" sz="1400" b="1" dirty="0" smtClean="0">
                              <a:latin typeface="微软雅黑" panose="020B0503020204020204" pitchFamily="2" charset="-122"/>
                              <a:ea typeface="微软雅黑" panose="020B0503020204020204" pitchFamily="2" charset="-122"/>
                            </a:endParaRPr>
                          </a:p>
                        </a:txBody>
                        <a:useSpRect/>
                      </a:txSp>
                    </a:sp>
                  </a:grpSp>
                  <a:grpSp>
                    <a:nvGrpSpPr>
                      <a:cNvPr id="92" name="组合 91"/>
                      <a:cNvGrpSpPr/>
                    </a:nvGrpSpPr>
                    <a:grpSpPr>
                      <a:xfrm>
                        <a:off x="4655877" y="4769577"/>
                        <a:ext cx="2430961" cy="1035200"/>
                        <a:chOff x="4469983" y="550306"/>
                        <a:chExt cx="2430961" cy="1035200"/>
                      </a:xfrm>
                    </a:grpSpPr>
                    <a:sp>
                      <a:nvSpPr>
                        <a:cNvPr id="93" name="Cloud"/>
                        <a:cNvSpPr>
                          <a:spLocks noChangeAspect="1" noEditPoints="1" noChangeArrowheads="1"/>
                        </a:cNvSpPr>
                      </a:nvSpPr>
                      <a:spPr bwMode="blackWhite">
                        <a:xfrm flipV="1">
                          <a:off x="4469983" y="1176198"/>
                          <a:ext cx="2430961" cy="409308"/>
                        </a:xfrm>
                        <a:custGeom>
                          <a:avLst/>
                          <a:gdLst>
                            <a:gd name="T0" fmla="*/ 5 w 21600"/>
                            <a:gd name="T1" fmla="*/ 212 h 21600"/>
                            <a:gd name="T2" fmla="*/ 791 w 21600"/>
                            <a:gd name="T3" fmla="*/ 424 h 21600"/>
                            <a:gd name="T4" fmla="*/ 1581 w 21600"/>
                            <a:gd name="T5" fmla="*/ 212 h 21600"/>
                            <a:gd name="T6" fmla="*/ 791 w 21600"/>
                            <a:gd name="T7" fmla="*/ 24 h 21600"/>
                            <a:gd name="T8" fmla="*/ 0 60000 65536"/>
                            <a:gd name="T9" fmla="*/ 0 60000 65536"/>
                            <a:gd name="T10" fmla="*/ 0 60000 65536"/>
                            <a:gd name="T11" fmla="*/ 0 60000 65536"/>
                            <a:gd name="T12" fmla="*/ 2976 w 21600"/>
                            <a:gd name="T13" fmla="*/ 3260 h 21600"/>
                            <a:gd name="T14" fmla="*/ 17081 w 21600"/>
                            <a:gd name="T15" fmla="*/ 17321 h 21600"/>
                          </a:gdLst>
                          <a:ahLst/>
                          <a:cxnLst>
                            <a:cxn ang="T8">
                              <a:pos x="T0" y="T1"/>
                            </a:cxn>
                            <a:cxn ang="T9">
                              <a:pos x="T2" y="T3"/>
                            </a:cxn>
                            <a:cxn ang="T10">
                              <a:pos x="T4" y="T5"/>
                            </a:cxn>
                            <a:cxn ang="T11">
                              <a:pos x="T6" y="T7"/>
                            </a:cxn>
                          </a:cxnLst>
                          <a:rect l="T12" t="T13" r="T14" b="T15"/>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EAEAEA"/>
                        </a:solidFill>
                        <a:ln w="9525" algn="ctr">
                          <a:noFill/>
                          <a:miter lim="800000"/>
                        </a:ln>
                        <a:effectLst>
                          <a:outerShdw dist="107763" dir="2700000" algn="ctr" rotWithShape="0">
                            <a:srgbClr val="808080">
                              <a:alpha val="50000"/>
                            </a:srgbClr>
                          </a:outerShdw>
                        </a:effectLst>
                      </a:spPr>
                      <a:txSp>
                        <a:txBody>
                          <a:bodyPr wrap="none" lIns="118869" tIns="23812" rIns="27431" bIns="23812" anchor="ctr" anchorCtr="1"/>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defTabSz="912495" eaLnBrk="0" hangingPunct="0"/>
                            <a:endParaRPr kumimoji="1" lang="zh-CN" altLang="en-GB" sz="1100" b="1" kern="0" dirty="0">
                              <a:solidFill>
                                <a:sysClr val="windowText" lastClr="000000"/>
                              </a:solidFill>
                              <a:effectLst>
                                <a:outerShdw blurRad="38100" dist="38100" dir="2700000" algn="tl">
                                  <a:srgbClr val="FFFFFF"/>
                                </a:outerShdw>
                              </a:effectLst>
                              <a:latin typeface="微软雅黑" panose="020B0503020204020204" pitchFamily="2" charset="-122"/>
                              <a:ea typeface="微软雅黑" panose="020B0503020204020204" pitchFamily="2" charset="-122"/>
                            </a:endParaRPr>
                          </a:p>
                        </a:txBody>
                        <a:useSpRect/>
                      </a:txSp>
                    </a:sp>
                    <a:sp>
                      <a:nvSpPr>
                        <a:cNvPr id="94" name="Cloud"/>
                        <a:cNvSpPr>
                          <a:spLocks noChangeAspect="1" noEditPoints="1" noChangeArrowheads="1"/>
                        </a:cNvSpPr>
                      </a:nvSpPr>
                      <a:spPr bwMode="blackWhite">
                        <a:xfrm>
                          <a:off x="4580974" y="550306"/>
                          <a:ext cx="2319970" cy="534234"/>
                        </a:xfrm>
                        <a:custGeom>
                          <a:avLst/>
                          <a:gdLst>
                            <a:gd name="T0" fmla="*/ 5 w 21600"/>
                            <a:gd name="T1" fmla="*/ 212 h 21600"/>
                            <a:gd name="T2" fmla="*/ 791 w 21600"/>
                            <a:gd name="T3" fmla="*/ 424 h 21600"/>
                            <a:gd name="T4" fmla="*/ 1581 w 21600"/>
                            <a:gd name="T5" fmla="*/ 212 h 21600"/>
                            <a:gd name="T6" fmla="*/ 791 w 21600"/>
                            <a:gd name="T7" fmla="*/ 24 h 21600"/>
                            <a:gd name="T8" fmla="*/ 0 60000 65536"/>
                            <a:gd name="T9" fmla="*/ 0 60000 65536"/>
                            <a:gd name="T10" fmla="*/ 0 60000 65536"/>
                            <a:gd name="T11" fmla="*/ 0 60000 65536"/>
                            <a:gd name="T12" fmla="*/ 2976 w 21600"/>
                            <a:gd name="T13" fmla="*/ 3260 h 21600"/>
                            <a:gd name="T14" fmla="*/ 17081 w 21600"/>
                            <a:gd name="T15" fmla="*/ 17321 h 21600"/>
                          </a:gdLst>
                          <a:ahLst/>
                          <a:cxnLst>
                            <a:cxn ang="T8">
                              <a:pos x="T0" y="T1"/>
                            </a:cxn>
                            <a:cxn ang="T9">
                              <a:pos x="T2" y="T3"/>
                            </a:cxn>
                            <a:cxn ang="T10">
                              <a:pos x="T4" y="T5"/>
                            </a:cxn>
                            <a:cxn ang="T11">
                              <a:pos x="T6" y="T7"/>
                            </a:cxn>
                          </a:cxnLst>
                          <a:rect l="T12" t="T13" r="T14" b="T15"/>
                          <a:pathLst>
                            <a:path w="21600" h="21600" extrusionOk="0">
                              <a:moveTo>
                                <a:pt x="1949" y="7180"/>
                              </a:moveTo>
                              <a:cubicBezTo>
                                <a:pt x="841" y="7336"/>
                                <a:pt x="0" y="8613"/>
                                <a:pt x="0" y="10137"/>
                              </a:cubicBezTo>
                              <a:cubicBezTo>
                                <a:pt x="-1" y="11192"/>
                                <a:pt x="409" y="12169"/>
                                <a:pt x="1074" y="12702"/>
                              </a:cubicBezTo>
                              <a:lnTo>
                                <a:pt x="1063" y="12668"/>
                              </a:lnTo>
                              <a:cubicBezTo>
                                <a:pt x="685" y="13217"/>
                                <a:pt x="475" y="13940"/>
                                <a:pt x="475" y="14690"/>
                              </a:cubicBezTo>
                              <a:cubicBezTo>
                                <a:pt x="475" y="16325"/>
                                <a:pt x="1451" y="17650"/>
                                <a:pt x="2655" y="17650"/>
                              </a:cubicBezTo>
                              <a:cubicBezTo>
                                <a:pt x="2739" y="17650"/>
                                <a:pt x="2824" y="17643"/>
                                <a:pt x="2909" y="17629"/>
                              </a:cubicBezTo>
                              <a:lnTo>
                                <a:pt x="2897" y="17649"/>
                              </a:lnTo>
                              <a:cubicBezTo>
                                <a:pt x="3585" y="19288"/>
                                <a:pt x="4863" y="20300"/>
                                <a:pt x="6247" y="20300"/>
                              </a:cubicBezTo>
                              <a:cubicBezTo>
                                <a:pt x="6947" y="20299"/>
                                <a:pt x="7635" y="20039"/>
                                <a:pt x="8235" y="19546"/>
                              </a:cubicBezTo>
                              <a:lnTo>
                                <a:pt x="8229" y="19550"/>
                              </a:lnTo>
                              <a:cubicBezTo>
                                <a:pt x="8855" y="20829"/>
                                <a:pt x="9908" y="21597"/>
                                <a:pt x="11036" y="21597"/>
                              </a:cubicBezTo>
                              <a:cubicBezTo>
                                <a:pt x="12523" y="21596"/>
                                <a:pt x="13836" y="20267"/>
                                <a:pt x="14267" y="18324"/>
                              </a:cubicBezTo>
                              <a:lnTo>
                                <a:pt x="14270" y="18350"/>
                              </a:lnTo>
                              <a:cubicBezTo>
                                <a:pt x="14730" y="18740"/>
                                <a:pt x="15260" y="18947"/>
                                <a:pt x="15802" y="18947"/>
                              </a:cubicBezTo>
                              <a:cubicBezTo>
                                <a:pt x="17390" y="18946"/>
                                <a:pt x="18682" y="17205"/>
                                <a:pt x="18694" y="15045"/>
                              </a:cubicBezTo>
                              <a:lnTo>
                                <a:pt x="18689" y="15035"/>
                              </a:lnTo>
                              <a:cubicBezTo>
                                <a:pt x="20357" y="14710"/>
                                <a:pt x="21597" y="12765"/>
                                <a:pt x="21597" y="10472"/>
                              </a:cubicBezTo>
                              <a:cubicBezTo>
                                <a:pt x="21597" y="9456"/>
                                <a:pt x="21350" y="8469"/>
                                <a:pt x="20896" y="7663"/>
                              </a:cubicBezTo>
                              <a:lnTo>
                                <a:pt x="20889" y="7661"/>
                              </a:lnTo>
                              <a:cubicBezTo>
                                <a:pt x="21031" y="7208"/>
                                <a:pt x="21105" y="6721"/>
                                <a:pt x="21105" y="6228"/>
                              </a:cubicBezTo>
                              <a:cubicBezTo>
                                <a:pt x="21105" y="4588"/>
                                <a:pt x="20299" y="3150"/>
                                <a:pt x="19139" y="2719"/>
                              </a:cubicBezTo>
                              <a:lnTo>
                                <a:pt x="19148" y="2712"/>
                              </a:lnTo>
                              <a:cubicBezTo>
                                <a:pt x="18940" y="1142"/>
                                <a:pt x="17933" y="0"/>
                                <a:pt x="16758" y="0"/>
                              </a:cubicBezTo>
                              <a:cubicBezTo>
                                <a:pt x="16044" y="-1"/>
                                <a:pt x="15367" y="426"/>
                                <a:pt x="14905" y="1165"/>
                              </a:cubicBezTo>
                              <a:lnTo>
                                <a:pt x="14909" y="1170"/>
                              </a:lnTo>
                              <a:cubicBezTo>
                                <a:pt x="14497" y="432"/>
                                <a:pt x="13855" y="0"/>
                                <a:pt x="13174" y="0"/>
                              </a:cubicBezTo>
                              <a:cubicBezTo>
                                <a:pt x="12347" y="-1"/>
                                <a:pt x="11590" y="637"/>
                                <a:pt x="11221" y="1645"/>
                              </a:cubicBezTo>
                              <a:lnTo>
                                <a:pt x="11229" y="1694"/>
                              </a:lnTo>
                              <a:cubicBezTo>
                                <a:pt x="10730" y="1024"/>
                                <a:pt x="10058" y="650"/>
                                <a:pt x="9358" y="650"/>
                              </a:cubicBezTo>
                              <a:cubicBezTo>
                                <a:pt x="8372" y="649"/>
                                <a:pt x="7466" y="1391"/>
                                <a:pt x="7003" y="2578"/>
                              </a:cubicBezTo>
                              <a:lnTo>
                                <a:pt x="6995" y="2602"/>
                              </a:lnTo>
                              <a:cubicBezTo>
                                <a:pt x="6477" y="2189"/>
                                <a:pt x="5888" y="1972"/>
                                <a:pt x="5288" y="1972"/>
                              </a:cubicBezTo>
                              <a:cubicBezTo>
                                <a:pt x="3423" y="1972"/>
                                <a:pt x="1912" y="4029"/>
                                <a:pt x="1912" y="6567"/>
                              </a:cubicBezTo>
                              <a:cubicBezTo>
                                <a:pt x="1911" y="6774"/>
                                <a:pt x="1922" y="6981"/>
                                <a:pt x="1942" y="7186"/>
                              </a:cubicBezTo>
                              <a:close/>
                            </a:path>
                            <a:path w="21600" h="21600" fill="none" extrusionOk="0">
                              <a:moveTo>
                                <a:pt x="1074" y="12702"/>
                              </a:moveTo>
                              <a:cubicBezTo>
                                <a:pt x="1407" y="12969"/>
                                <a:pt x="1786" y="13110"/>
                                <a:pt x="2172" y="13110"/>
                              </a:cubicBezTo>
                              <a:cubicBezTo>
                                <a:pt x="2228" y="13109"/>
                                <a:pt x="2285" y="13107"/>
                                <a:pt x="2341" y="13101"/>
                              </a:cubicBezTo>
                            </a:path>
                            <a:path w="21600" h="21600" fill="none" extrusionOk="0">
                              <a:moveTo>
                                <a:pt x="2909" y="17629"/>
                              </a:moveTo>
                              <a:cubicBezTo>
                                <a:pt x="3099" y="17599"/>
                                <a:pt x="3285" y="17535"/>
                                <a:pt x="3463" y="17439"/>
                              </a:cubicBezTo>
                            </a:path>
                            <a:path w="21600" h="21600" fill="none" extrusionOk="0">
                              <a:moveTo>
                                <a:pt x="7895" y="18680"/>
                              </a:moveTo>
                              <a:cubicBezTo>
                                <a:pt x="7983" y="18985"/>
                                <a:pt x="8095" y="19277"/>
                                <a:pt x="8229" y="19550"/>
                              </a:cubicBezTo>
                            </a:path>
                            <a:path w="21600" h="21600" fill="none" extrusionOk="0">
                              <a:moveTo>
                                <a:pt x="14267" y="18324"/>
                              </a:moveTo>
                              <a:cubicBezTo>
                                <a:pt x="14336" y="18013"/>
                                <a:pt x="14380" y="17693"/>
                                <a:pt x="14400" y="17370"/>
                              </a:cubicBezTo>
                            </a:path>
                            <a:path w="21600" h="21600" fill="none" extrusionOk="0">
                              <a:moveTo>
                                <a:pt x="18694" y="15045"/>
                              </a:moveTo>
                              <a:cubicBezTo>
                                <a:pt x="18694" y="15034"/>
                                <a:pt x="18695" y="15024"/>
                                <a:pt x="18695" y="15013"/>
                              </a:cubicBezTo>
                              <a:cubicBezTo>
                                <a:pt x="18695" y="13508"/>
                                <a:pt x="18063" y="12136"/>
                                <a:pt x="17069" y="11477"/>
                              </a:cubicBezTo>
                            </a:path>
                            <a:path w="21600" h="21600" fill="none" extrusionOk="0">
                              <a:moveTo>
                                <a:pt x="20165" y="8999"/>
                              </a:moveTo>
                              <a:cubicBezTo>
                                <a:pt x="20479" y="8635"/>
                                <a:pt x="20726" y="8177"/>
                                <a:pt x="20889" y="7661"/>
                              </a:cubicBezTo>
                            </a:path>
                            <a:path w="21600" h="21600" fill="none" extrusionOk="0">
                              <a:moveTo>
                                <a:pt x="19186" y="3344"/>
                              </a:moveTo>
                              <a:cubicBezTo>
                                <a:pt x="19186" y="3328"/>
                                <a:pt x="19187" y="3313"/>
                                <a:pt x="19187" y="3297"/>
                              </a:cubicBezTo>
                              <a:cubicBezTo>
                                <a:pt x="19187" y="3101"/>
                                <a:pt x="19174" y="2905"/>
                                <a:pt x="19148" y="2712"/>
                              </a:cubicBezTo>
                            </a:path>
                            <a:path w="21600" h="21600" fill="none" extrusionOk="0">
                              <a:moveTo>
                                <a:pt x="14905" y="1165"/>
                              </a:moveTo>
                              <a:cubicBezTo>
                                <a:pt x="14754" y="1408"/>
                                <a:pt x="14629" y="1679"/>
                                <a:pt x="14535" y="1971"/>
                              </a:cubicBezTo>
                            </a:path>
                            <a:path w="21600" h="21600" fill="none" extrusionOk="0">
                              <a:moveTo>
                                <a:pt x="11221" y="1645"/>
                              </a:moveTo>
                              <a:cubicBezTo>
                                <a:pt x="11140" y="1866"/>
                                <a:pt x="11080" y="2099"/>
                                <a:pt x="11041" y="2340"/>
                              </a:cubicBezTo>
                            </a:path>
                            <a:path w="21600" h="21600" fill="none" extrusionOk="0">
                              <a:moveTo>
                                <a:pt x="7645" y="3276"/>
                              </a:moveTo>
                              <a:cubicBezTo>
                                <a:pt x="7449" y="3016"/>
                                <a:pt x="7231" y="2790"/>
                                <a:pt x="6995" y="2602"/>
                              </a:cubicBezTo>
                            </a:path>
                            <a:path w="21600" h="21600" fill="none" extrusionOk="0">
                              <a:moveTo>
                                <a:pt x="1942" y="7186"/>
                              </a:moveTo>
                              <a:cubicBezTo>
                                <a:pt x="1966" y="7426"/>
                                <a:pt x="2004" y="7663"/>
                                <a:pt x="2056" y="7895"/>
                              </a:cubicBezTo>
                            </a:path>
                          </a:pathLst>
                        </a:custGeom>
                        <a:solidFill>
                          <a:srgbClr val="EAEAEA"/>
                        </a:solidFill>
                        <a:ln w="9525" algn="ctr">
                          <a:noFill/>
                          <a:miter lim="800000"/>
                        </a:ln>
                        <a:effectLst>
                          <a:outerShdw dist="107763" dir="2700000" algn="ctr" rotWithShape="0">
                            <a:srgbClr val="808080">
                              <a:alpha val="50000"/>
                            </a:srgbClr>
                          </a:outerShdw>
                        </a:effectLst>
                      </a:spPr>
                      <a:txSp>
                        <a:txBody>
                          <a:bodyPr wrap="none" lIns="118869" tIns="23812" rIns="27431" bIns="23812" anchor="ctr" anchorCtr="1"/>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defTabSz="912495" eaLnBrk="0" hangingPunct="0"/>
                            <a:endParaRPr kumimoji="1" lang="zh-CN" altLang="en-GB" sz="1100" b="1" kern="0" dirty="0">
                              <a:solidFill>
                                <a:sysClr val="windowText" lastClr="000000"/>
                              </a:solidFill>
                              <a:effectLst>
                                <a:outerShdw blurRad="38100" dist="38100" dir="2700000" algn="tl">
                                  <a:srgbClr val="FFFFFF"/>
                                </a:outerShdw>
                              </a:effectLst>
                              <a:latin typeface="微软雅黑" panose="020B0503020204020204" pitchFamily="2" charset="-122"/>
                              <a:ea typeface="微软雅黑" panose="020B0503020204020204" pitchFamily="2" charset="-122"/>
                            </a:endParaRPr>
                          </a:p>
                        </a:txBody>
                        <a:useSpRect/>
                      </a:txSp>
                    </a:sp>
                    <a:pic>
                      <a:nvPicPr>
                        <a:cNvPr id="97" name="图片 96" descr="RH2285-12盘 侧视图.png"/>
                        <a:cNvPicPr>
                          <a:picLocks noChangeAspect="1"/>
                        </a:cNvPicPr>
                      </a:nvPicPr>
                      <a:blipFill>
                        <a:blip r:embed="rId5" cstate="print">
                          <a:extLst>
                            <a:ext uri="{28A0092B-C50C-407E-A947-70E740481C1C}">
                              <a14:useLocalDpi xmlns:a14="http://schemas.microsoft.com/office/drawing/2010/main" val="0"/>
                            </a:ext>
                          </a:extLst>
                        </a:blip>
                        <a:stretch>
                          <a:fillRect/>
                        </a:stretch>
                      </a:blipFill>
                      <a:spPr>
                        <a:xfrm>
                          <a:off x="5338402" y="627512"/>
                          <a:ext cx="881485" cy="274117"/>
                        </a:xfrm>
                        <a:prstGeom prst="rect">
                          <a:avLst/>
                        </a:prstGeom>
                      </a:spPr>
                    </a:pic>
                    <a:sp>
                      <a:nvSpPr>
                        <a:cNvPr id="99" name="Rectangle 16"/>
                        <a:cNvSpPr>
                          <a:spLocks noChangeArrowheads="1"/>
                        </a:cNvSpPr>
                      </a:nvSpPr>
                      <a:spPr bwMode="blackWhite">
                        <a:xfrm>
                          <a:off x="5403685" y="1050371"/>
                          <a:ext cx="782279" cy="251655"/>
                        </a:xfrm>
                        <a:prstGeom prst="rect">
                          <a:avLst/>
                        </a:prstGeom>
                        <a:solidFill>
                          <a:srgbClr val="00B0F0"/>
                        </a:solidFill>
                        <a:ln w="9525" algn="ctr">
                          <a:noFill/>
                          <a:miter lim="800000"/>
                        </a:ln>
                        <a:effectLst>
                          <a:prstShdw prst="shdw17" dist="17961" dir="2700000">
                            <a:srgbClr val="7A8E99"/>
                          </a:prstShdw>
                        </a:effectLst>
                      </a:spPr>
                      <a:txSp>
                        <a:txBody>
                          <a:bodyPr lIns="58736" tIns="23812" rIns="58736" bIns="23812" anchor="ct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defTabSz="914400" eaLnBrk="0" hangingPunct="0"/>
                            <a:r>
                              <a:rPr lang="zh-CN" altLang="en-US" sz="1100" b="1" dirty="0">
                                <a:solidFill>
                                  <a:sysClr val="windowText" lastClr="000000"/>
                                </a:solidFill>
                                <a:latin typeface="微软雅黑" panose="020B0503020204020204" pitchFamily="2" charset="-122"/>
                                <a:ea typeface="微软雅黑" panose="020B0503020204020204" pitchFamily="2" charset="-122"/>
                              </a:rPr>
                              <a:t>集</a:t>
                            </a:r>
                            <a:r>
                              <a:rPr lang="zh-CN" altLang="en-US" sz="1100" b="1" dirty="0" smtClean="0">
                                <a:solidFill>
                                  <a:sysClr val="windowText" lastClr="000000"/>
                                </a:solidFill>
                                <a:latin typeface="微软雅黑" panose="020B0503020204020204" pitchFamily="2" charset="-122"/>
                                <a:ea typeface="微软雅黑" panose="020B0503020204020204" pitchFamily="2" charset="-122"/>
                              </a:rPr>
                              <a:t>中处理</a:t>
                            </a:r>
                            <a:endParaRPr lang="en-US" altLang="zh-CN" sz="1100" b="1" dirty="0">
                              <a:solidFill>
                                <a:sysClr val="windowText" lastClr="000000"/>
                              </a:solidFill>
                              <a:latin typeface="微软雅黑" panose="020B0503020204020204" pitchFamily="2" charset="-122"/>
                              <a:ea typeface="微软雅黑" panose="020B0503020204020204" pitchFamily="2" charset="-122"/>
                            </a:endParaRPr>
                          </a:p>
                        </a:txBody>
                        <a:useSpRect/>
                      </a:txSp>
                    </a:sp>
                  </a:grpSp>
                  <a:sp>
                    <a:nvSpPr>
                      <a:cNvPr id="100" name="矩形: 圆角 2"/>
                      <a:cNvSpPr/>
                    </a:nvSpPr>
                    <a:spPr>
                      <a:xfrm>
                        <a:off x="985805" y="4149888"/>
                        <a:ext cx="3078051" cy="1303258"/>
                      </a:xfrm>
                      <a:prstGeom prst="roundRect">
                        <a:avLst>
                          <a:gd name="adj" fmla="val 16667"/>
                        </a:avLst>
                      </a:prstGeom>
                      <a:noFill/>
                      <a:ln w="19050" cap="flat" cmpd="sng">
                        <a:solidFill>
                          <a:schemeClr val="accent1">
                            <a:lumMod val="75000"/>
                          </a:schemeClr>
                        </a:solidFill>
                        <a:prstDash val="dash"/>
                        <a:bevel/>
                        <a:headEnd type="none" w="med" len="med"/>
                        <a:tailEnd type="none" w="med" len="med"/>
                      </a:ln>
                    </a:spPr>
                    <a:txSp>
                      <a:txBody>
                        <a:bodyPr wrap="none" anchor="ct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defTabSz="457200"/>
                          <a:endParaRPr lang="zh-CN" altLang="en-US" sz="2000" dirty="0">
                            <a:solidFill>
                              <a:srgbClr val="000000"/>
                            </a:solidFill>
                            <a:latin typeface="微软雅黑" panose="020B0503020204020204" pitchFamily="2" charset="-122"/>
                            <a:ea typeface="微软雅黑" panose="020B0503020204020204" pitchFamily="2" charset="-122"/>
                          </a:endParaRPr>
                        </a:p>
                      </a:txBody>
                      <a:useSpRect/>
                    </a:txSp>
                  </a:sp>
                  <a:pic>
                    <a:nvPicPr>
                      <a:cNvPr id="108" name="图片 16"/>
                      <a:cNvPicPr>
                        <a:picLocks noChangeAspect="1"/>
                      </a:cNvPicPr>
                    </a:nvPicPr>
                    <a:blipFill>
                      <a:blip r:embed="rId6" cstate="print"/>
                      <a:stretch>
                        <a:fillRect/>
                      </a:stretch>
                    </a:blipFill>
                    <a:spPr>
                      <a:xfrm>
                        <a:off x="5973862" y="2801739"/>
                        <a:ext cx="1391285" cy="784225"/>
                      </a:xfrm>
                      <a:prstGeom prst="rect">
                        <a:avLst/>
                      </a:prstGeom>
                      <a:noFill/>
                      <a:ln w="9525">
                        <a:noFill/>
                      </a:ln>
                    </a:spPr>
                  </a:pic>
                  <a:pic>
                    <a:nvPicPr>
                      <a:cNvPr id="115" name="图片 114"/>
                      <a:cNvPicPr>
                        <a:picLocks noChangeAspect="1"/>
                      </a:cNvPicPr>
                    </a:nvPicPr>
                    <a:blipFill>
                      <a:blip r:embed="rId7" cstate="print"/>
                      <a:stretch>
                        <a:fillRect/>
                      </a:stretch>
                    </a:blipFill>
                    <a:spPr>
                      <a:xfrm>
                        <a:off x="8647108" y="4156900"/>
                        <a:ext cx="1333305" cy="838568"/>
                      </a:xfrm>
                      <a:prstGeom prst="rect">
                        <a:avLst/>
                      </a:prstGeom>
                    </a:spPr>
                  </a:pic>
                  <a:cxnSp>
                    <a:nvCxnSpPr>
                      <a:cNvPr id="140" name="直接连接符 139"/>
                      <a:cNvCxnSpPr/>
                    </a:nvCxnSpPr>
                    <a:spPr>
                      <a:xfrm flipH="1" flipV="1">
                        <a:off x="4053956" y="4764097"/>
                        <a:ext cx="569764" cy="1860"/>
                      </a:xfrm>
                      <a:prstGeom prst="line">
                        <a:avLst/>
                      </a:prstGeom>
                      <a:ln w="38100"/>
                    </a:spPr>
                    <a:style>
                      <a:lnRef idx="1">
                        <a:schemeClr val="accent1"/>
                      </a:lnRef>
                      <a:fillRef idx="0">
                        <a:schemeClr val="accent1"/>
                      </a:fillRef>
                      <a:effectRef idx="0">
                        <a:schemeClr val="accent1"/>
                      </a:effectRef>
                      <a:fontRef idx="minor">
                        <a:schemeClr val="tx1"/>
                      </a:fontRef>
                    </a:style>
                  </a:cxnSp>
                  <a:sp>
                    <a:nvSpPr>
                      <a:cNvPr id="147" name="TextBox 39"/>
                      <a:cNvSpPr txBox="1"/>
                    </a:nvSpPr>
                    <a:spPr>
                      <a:xfrm>
                        <a:off x="7371284" y="4256812"/>
                        <a:ext cx="1193121" cy="259080"/>
                      </a:xfrm>
                      <a:prstGeom prst="rect">
                        <a:avLst/>
                      </a:prstGeom>
                      <a:noFill/>
                    </a:spPr>
                    <a:txSp>
                      <a:txBody>
                        <a:bodyPr wrap="square" lIns="91438" tIns="45719" rIns="91438" bIns="45719" rtlCol="0">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zh-CN" altLang="en-US" sz="1100" b="1" dirty="0">
                              <a:solidFill>
                                <a:srgbClr val="FF0000"/>
                              </a:solidFill>
                              <a:latin typeface="微软雅黑" panose="020B0503020204020204" pitchFamily="2" charset="-122"/>
                              <a:ea typeface="微软雅黑" panose="020B0503020204020204" pitchFamily="2" charset="-122"/>
                            </a:rPr>
                            <a:t>移动互联网专线</a:t>
                          </a:r>
                          <a:endParaRPr lang="zh-CN" altLang="en-US" sz="1100" b="1" dirty="0">
                            <a:solidFill>
                              <a:srgbClr val="FF0000"/>
                            </a:solidFill>
                            <a:latin typeface="微软雅黑" panose="020B0503020204020204" pitchFamily="2" charset="-122"/>
                            <a:ea typeface="微软雅黑" panose="020B0503020204020204" pitchFamily="2" charset="-122"/>
                          </a:endParaRPr>
                        </a:p>
                      </a:txBody>
                      <a:useSpRect/>
                    </a:txSp>
                  </a:sp>
                  <a:cxnSp>
                    <a:nvCxnSpPr>
                      <a:cNvPr id="167" name="直接连接符 166"/>
                      <a:cNvCxnSpPr/>
                    </a:nvCxnSpPr>
                    <a:spPr>
                      <a:xfrm>
                        <a:off x="5934321" y="3977821"/>
                        <a:ext cx="0" cy="768527"/>
                      </a:xfrm>
                      <a:prstGeom prst="line">
                        <a:avLst/>
                      </a:prstGeom>
                      <a:ln w="38100"/>
                    </a:spPr>
                    <a:style>
                      <a:lnRef idx="1">
                        <a:schemeClr val="accent1"/>
                      </a:lnRef>
                      <a:fillRef idx="0">
                        <a:schemeClr val="accent1"/>
                      </a:fillRef>
                      <a:effectRef idx="0">
                        <a:schemeClr val="accent1"/>
                      </a:effectRef>
                      <a:fontRef idx="minor">
                        <a:schemeClr val="tx1"/>
                      </a:fontRef>
                    </a:style>
                  </a:cxnSp>
                  <a:cxnSp>
                    <a:nvCxnSpPr>
                      <a:cNvPr id="168" name="直接连接符 167"/>
                      <a:cNvCxnSpPr/>
                    </a:nvCxnSpPr>
                    <a:spPr>
                      <a:xfrm flipH="1">
                        <a:off x="6371858" y="5361523"/>
                        <a:ext cx="1531233" cy="21872"/>
                      </a:xfrm>
                      <a:prstGeom prst="line">
                        <a:avLst/>
                      </a:prstGeom>
                      <a:ln w="38100"/>
                    </a:spPr>
                    <a:style>
                      <a:lnRef idx="1">
                        <a:schemeClr val="accent1"/>
                      </a:lnRef>
                      <a:fillRef idx="0">
                        <a:schemeClr val="accent1"/>
                      </a:fillRef>
                      <a:effectRef idx="0">
                        <a:schemeClr val="accent1"/>
                      </a:effectRef>
                      <a:fontRef idx="minor">
                        <a:schemeClr val="tx1"/>
                      </a:fontRef>
                    </a:style>
                  </a:cxnSp>
                  <a:sp>
                    <a:nvSpPr>
                      <a:cNvPr id="4" name="矩形: 圆角 2"/>
                      <a:cNvSpPr/>
                    </a:nvSpPr>
                    <a:spPr>
                      <a:xfrm>
                        <a:off x="8495315" y="3947958"/>
                        <a:ext cx="3078051" cy="1303258"/>
                      </a:xfrm>
                      <a:prstGeom prst="roundRect">
                        <a:avLst>
                          <a:gd name="adj" fmla="val 16667"/>
                        </a:avLst>
                      </a:prstGeom>
                      <a:noFill/>
                      <a:ln w="19050" cap="flat" cmpd="sng">
                        <a:solidFill>
                          <a:schemeClr val="accent1">
                            <a:lumMod val="75000"/>
                          </a:schemeClr>
                        </a:solidFill>
                        <a:prstDash val="dash"/>
                        <a:bevel/>
                        <a:headEnd type="none" w="med" len="med"/>
                        <a:tailEnd type="none" w="med" len="med"/>
                      </a:ln>
                    </a:spPr>
                    <a:txSp>
                      <a:txBody>
                        <a:bodyPr wrap="none" anchor="ct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defTabSz="457200"/>
                          <a:endParaRPr lang="zh-CN" altLang="en-US" sz="2000" dirty="0">
                            <a:solidFill>
                              <a:srgbClr val="000000"/>
                            </a:solidFill>
                            <a:latin typeface="微软雅黑" panose="020B0503020204020204" pitchFamily="2" charset="-122"/>
                            <a:ea typeface="微软雅黑" panose="020B0503020204020204" pitchFamily="2" charset="-122"/>
                          </a:endParaRPr>
                        </a:p>
                      </a:txBody>
                      <a:useSpRect/>
                    </a:txSp>
                  </a:sp>
                  <a:sp>
                    <a:nvSpPr>
                      <a:cNvPr id="5" name="文本框 4"/>
                      <a:cNvSpPr txBox="1"/>
                    </a:nvSpPr>
                    <a:spPr>
                      <a:xfrm>
                        <a:off x="1845621" y="3951450"/>
                        <a:ext cx="1485445" cy="306705"/>
                      </a:xfrm>
                      <a:prstGeom prst="rect">
                        <a:avLst/>
                      </a:prstGeom>
                      <a:solidFill>
                        <a:schemeClr val="tx2">
                          <a:lumMod val="60000"/>
                          <a:lumOff val="40000"/>
                        </a:schemeClr>
                      </a:solidFill>
                    </a:spPr>
                    <a:txSp>
                      <a:txBody>
                        <a:bodyPr wrap="square" rtlCol="0">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zh-CN" altLang="en-US" sz="1400" b="1" dirty="0" smtClean="0">
                              <a:latin typeface="微软雅黑" panose="020B0503020204020204" pitchFamily="2" charset="-122"/>
                              <a:ea typeface="微软雅黑" panose="020B0503020204020204" pitchFamily="2" charset="-122"/>
                            </a:rPr>
                            <a:t>研发中心</a:t>
                          </a:r>
                          <a:r>
                            <a:rPr lang="en-US" altLang="zh-CN" sz="1400" b="1" dirty="0" smtClean="0">
                              <a:latin typeface="微软雅黑" panose="020B0503020204020204" pitchFamily="2" charset="-122"/>
                              <a:ea typeface="微软雅黑" panose="020B0503020204020204" pitchFamily="2" charset="-122"/>
                            </a:rPr>
                            <a:t>1</a:t>
                          </a:r>
                          <a:endParaRPr lang="zh-CN" altLang="en-US" sz="1400" b="1" dirty="0">
                            <a:latin typeface="微软雅黑" panose="020B0503020204020204" pitchFamily="2" charset="-122"/>
                            <a:ea typeface="微软雅黑" panose="020B0503020204020204" pitchFamily="2" charset="-122"/>
                          </a:endParaRPr>
                        </a:p>
                      </a:txBody>
                      <a:useSpRect/>
                    </a:txSp>
                  </a:sp>
                  <a:pic>
                    <a:nvPicPr>
                      <a:cNvPr id="11" name="图片 10"/>
                      <a:cNvPicPr>
                        <a:picLocks noChangeAspect="1"/>
                      </a:cNvPicPr>
                    </a:nvPicPr>
                    <a:blipFill>
                      <a:blip r:embed="rId7" cstate="print"/>
                      <a:stretch>
                        <a:fillRect/>
                      </a:stretch>
                    </a:blipFill>
                    <a:spPr>
                      <a:xfrm>
                        <a:off x="1123628" y="4408995"/>
                        <a:ext cx="1333305" cy="838568"/>
                      </a:xfrm>
                      <a:prstGeom prst="rect">
                        <a:avLst/>
                      </a:prstGeom>
                    </a:spPr>
                  </a:pic>
                  <a:cxnSp>
                    <a:nvCxnSpPr>
                      <a:cNvPr id="12" name="直接连接符 11"/>
                      <a:cNvCxnSpPr/>
                    </a:nvCxnSpPr>
                    <a:spPr>
                      <a:xfrm>
                        <a:off x="4591313" y="4788085"/>
                        <a:ext cx="10160" cy="599440"/>
                      </a:xfrm>
                      <a:prstGeom prst="line">
                        <a:avLst/>
                      </a:prstGeom>
                      <a:ln w="38100"/>
                    </a:spPr>
                    <a:style>
                      <a:lnRef idx="1">
                        <a:schemeClr val="accent1"/>
                      </a:lnRef>
                      <a:fillRef idx="0">
                        <a:schemeClr val="accent1"/>
                      </a:fillRef>
                      <a:effectRef idx="0">
                        <a:schemeClr val="accent1"/>
                      </a:effectRef>
                      <a:fontRef idx="minor">
                        <a:schemeClr val="tx1"/>
                      </a:fontRef>
                    </a:style>
                  </a:cxnSp>
                  <a:cxnSp>
                    <a:nvCxnSpPr>
                      <a:cNvPr id="13" name="直接连接符 12"/>
                      <a:cNvCxnSpPr/>
                    </a:nvCxnSpPr>
                    <a:spPr>
                      <a:xfrm flipH="1" flipV="1">
                        <a:off x="4572285" y="5371747"/>
                        <a:ext cx="1017270" cy="24130"/>
                      </a:xfrm>
                      <a:prstGeom prst="line">
                        <a:avLst/>
                      </a:prstGeom>
                      <a:ln w="38100"/>
                    </a:spPr>
                    <a:style>
                      <a:lnRef idx="1">
                        <a:schemeClr val="accent1"/>
                      </a:lnRef>
                      <a:fillRef idx="0">
                        <a:schemeClr val="accent1"/>
                      </a:fillRef>
                      <a:effectRef idx="0">
                        <a:schemeClr val="accent1"/>
                      </a:effectRef>
                      <a:fontRef idx="minor">
                        <a:schemeClr val="tx1"/>
                      </a:fontRef>
                    </a:style>
                  </a:cxnSp>
                  <a:cxnSp>
                    <a:nvCxnSpPr>
                      <a:cNvPr id="14" name="直接连接符 13"/>
                      <a:cNvCxnSpPr/>
                    </a:nvCxnSpPr>
                    <a:spPr>
                      <a:xfrm flipH="1" flipV="1">
                        <a:off x="7884349" y="4576264"/>
                        <a:ext cx="569764" cy="1860"/>
                      </a:xfrm>
                      <a:prstGeom prst="line">
                        <a:avLst/>
                      </a:prstGeom>
                      <a:ln w="38100"/>
                    </a:spPr>
                    <a:style>
                      <a:lnRef idx="1">
                        <a:schemeClr val="accent1"/>
                      </a:lnRef>
                      <a:fillRef idx="0">
                        <a:schemeClr val="accent1"/>
                      </a:fillRef>
                      <a:effectRef idx="0">
                        <a:schemeClr val="accent1"/>
                      </a:effectRef>
                      <a:fontRef idx="minor">
                        <a:schemeClr val="tx1"/>
                      </a:fontRef>
                    </a:style>
                  </a:cxnSp>
                  <a:sp>
                    <a:nvSpPr>
                      <a:cNvPr id="15" name="TextBox 39"/>
                      <a:cNvSpPr txBox="1"/>
                    </a:nvSpPr>
                    <a:spPr>
                      <a:xfrm>
                        <a:off x="3877514" y="4508272"/>
                        <a:ext cx="1193121" cy="259080"/>
                      </a:xfrm>
                      <a:prstGeom prst="rect">
                        <a:avLst/>
                      </a:prstGeom>
                      <a:noFill/>
                    </a:spPr>
                    <a:txSp>
                      <a:txBody>
                        <a:bodyPr wrap="square" lIns="91438" tIns="45719" rIns="91438" bIns="45719" rtlCol="0">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zh-CN" altLang="en-US" sz="1100" b="1" dirty="0">
                              <a:solidFill>
                                <a:srgbClr val="FF0000"/>
                              </a:solidFill>
                              <a:latin typeface="微软雅黑" panose="020B0503020204020204" pitchFamily="2" charset="-122"/>
                              <a:ea typeface="微软雅黑" panose="020B0503020204020204" pitchFamily="2" charset="-122"/>
                            </a:rPr>
                            <a:t>移动互联网专线</a:t>
                          </a:r>
                          <a:endParaRPr lang="zh-CN" altLang="en-US" sz="1100" b="1" dirty="0">
                            <a:solidFill>
                              <a:srgbClr val="FF0000"/>
                            </a:solidFill>
                            <a:latin typeface="微软雅黑" panose="020B0503020204020204" pitchFamily="2" charset="-122"/>
                            <a:ea typeface="微软雅黑" panose="020B0503020204020204" pitchFamily="2" charset="-122"/>
                          </a:endParaRPr>
                        </a:p>
                      </a:txBody>
                      <a:useSpRect/>
                    </a:txSp>
                  </a:sp>
                  <a:pic>
                    <a:nvPicPr>
                      <a:cNvPr id="16" name="Picture 4"/>
                      <a:cNvPicPr>
                        <a:picLocks noChangeAspect="1"/>
                      </a:cNvPicPr>
                    </a:nvPicPr>
                    <a:blipFill>
                      <a:blip r:embed="rId8" cstate="print"/>
                      <a:stretch>
                        <a:fillRect/>
                      </a:stretch>
                    </a:blipFill>
                    <a:spPr>
                      <a:xfrm>
                        <a:off x="10154285" y="4441190"/>
                        <a:ext cx="979170" cy="458470"/>
                      </a:xfrm>
                      <a:prstGeom prst="rect">
                        <a:avLst/>
                      </a:prstGeom>
                      <a:noFill/>
                      <a:ln w="9525">
                        <a:noFill/>
                      </a:ln>
                    </a:spPr>
                  </a:pic>
                  <a:pic>
                    <a:nvPicPr>
                      <a:cNvPr id="17" name="Picture 4"/>
                      <a:cNvPicPr>
                        <a:picLocks noChangeAspect="1"/>
                      </a:cNvPicPr>
                    </a:nvPicPr>
                    <a:blipFill>
                      <a:blip r:embed="rId8" cstate="print"/>
                      <a:stretch>
                        <a:fillRect/>
                      </a:stretch>
                    </a:blipFill>
                    <a:spPr>
                      <a:xfrm>
                        <a:off x="2718435" y="4460240"/>
                        <a:ext cx="979170" cy="653415"/>
                      </a:xfrm>
                      <a:prstGeom prst="rect">
                        <a:avLst/>
                      </a:prstGeom>
                      <a:noFill/>
                      <a:ln w="9525">
                        <a:noFill/>
                      </a:ln>
                    </a:spPr>
                  </a:pic>
                  <a:sp>
                    <a:nvSpPr>
                      <a:cNvPr id="18" name="文本框 17"/>
                      <a:cNvSpPr txBox="1"/>
                    </a:nvSpPr>
                    <a:spPr>
                      <a:xfrm>
                        <a:off x="2594610" y="5083810"/>
                        <a:ext cx="1310640" cy="260350"/>
                      </a:xfrm>
                      <a:prstGeom prst="rect">
                        <a:avLst/>
                      </a:prstGeom>
                      <a:noFill/>
                    </a:spPr>
                    <a:txSp>
                      <a:txBody>
                        <a:bodyPr wrap="square" rtlCol="0" anchor="t">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zh-CN" altLang="en-US" sz="1100" b="1" dirty="0" smtClean="0">
                              <a:latin typeface="微软雅黑" panose="020B0503020204020204" pitchFamily="2" charset="-122"/>
                              <a:ea typeface="微软雅黑" panose="020B0503020204020204" pitchFamily="2" charset="-122"/>
                              <a:sym typeface="+mn-ea"/>
                            </a:rPr>
                            <a:t>监控及会议系统</a:t>
                          </a:r>
                          <a:endParaRPr lang="en-US" altLang="x-none" sz="1100" b="1" dirty="0" smtClean="0">
                            <a:latin typeface="微软雅黑" panose="020B0503020204020204" pitchFamily="2" charset="-122"/>
                            <a:ea typeface="微软雅黑" panose="020B0503020204020204" pitchFamily="2" charset="-122"/>
                            <a:sym typeface="+mn-ea"/>
                          </a:endParaRPr>
                        </a:p>
                      </a:txBody>
                      <a:useSpRect/>
                    </a:txSp>
                  </a:sp>
                  <a:sp>
                    <a:nvSpPr>
                      <a:cNvPr id="19" name="文本框 18"/>
                      <a:cNvSpPr txBox="1"/>
                    </a:nvSpPr>
                    <a:spPr>
                      <a:xfrm>
                        <a:off x="10077450" y="4899025"/>
                        <a:ext cx="1310640" cy="260350"/>
                      </a:xfrm>
                      <a:prstGeom prst="rect">
                        <a:avLst/>
                      </a:prstGeom>
                      <a:noFill/>
                    </a:spPr>
                    <a:txSp>
                      <a:txBody>
                        <a:bodyPr wrap="square" rtlCol="0" anchor="t">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zh-CN" altLang="en-US" sz="1100" b="1" dirty="0" smtClean="0">
                              <a:latin typeface="微软雅黑" panose="020B0503020204020204" pitchFamily="2" charset="-122"/>
                              <a:ea typeface="微软雅黑" panose="020B0503020204020204" pitchFamily="2" charset="-122"/>
                              <a:sym typeface="+mn-ea"/>
                            </a:rPr>
                            <a:t>监控及会议系统</a:t>
                          </a:r>
                          <a:endParaRPr lang="en-US" altLang="x-none" sz="1100" b="1" dirty="0" smtClean="0">
                            <a:latin typeface="微软雅黑" panose="020B0503020204020204" pitchFamily="2" charset="-122"/>
                            <a:ea typeface="微软雅黑" panose="020B0503020204020204" pitchFamily="2" charset="-122"/>
                            <a:sym typeface="+mn-ea"/>
                          </a:endParaRPr>
                        </a:p>
                      </a:txBody>
                      <a:useSpRect/>
                    </a:txSp>
                  </a:sp>
                  <a:cxnSp>
                    <a:nvCxnSpPr>
                      <a:cNvPr id="2" name="直接连接符 1"/>
                      <a:cNvCxnSpPr/>
                    </a:nvCxnSpPr>
                    <a:spPr>
                      <a:xfrm>
                        <a:off x="7892415" y="4560570"/>
                        <a:ext cx="8890" cy="845185"/>
                      </a:xfrm>
                      <a:prstGeom prst="line">
                        <a:avLst/>
                      </a:prstGeom>
                      <a:ln w="38100"/>
                    </a:spPr>
                    <a:style>
                      <a:lnRef idx="1">
                        <a:schemeClr val="accent1"/>
                      </a:lnRef>
                      <a:fillRef idx="0">
                        <a:schemeClr val="accent1"/>
                      </a:fillRef>
                      <a:effectRef idx="0">
                        <a:schemeClr val="accent1"/>
                      </a:effectRef>
                      <a:fontRef idx="minor">
                        <a:schemeClr val="tx1"/>
                      </a:fontRef>
                    </a:style>
                  </a:cxnSp>
                  <a:sp>
                    <a:nvSpPr>
                      <a:cNvPr id="3" name="TextBox 39"/>
                      <a:cNvSpPr txBox="1"/>
                    </a:nvSpPr>
                    <a:spPr>
                      <a:xfrm>
                        <a:off x="5285309" y="3932962"/>
                        <a:ext cx="1193121" cy="259080"/>
                      </a:xfrm>
                      <a:prstGeom prst="rect">
                        <a:avLst/>
                      </a:prstGeom>
                      <a:noFill/>
                    </a:spPr>
                    <a:txSp>
                      <a:txBody>
                        <a:bodyPr wrap="square" lIns="91438" tIns="45719" rIns="91438" bIns="45719" rtlCol="0">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zh-CN" altLang="en-US" sz="1100" b="1" dirty="0">
                              <a:solidFill>
                                <a:srgbClr val="FF0000"/>
                              </a:solidFill>
                              <a:latin typeface="微软雅黑" panose="020B0503020204020204" pitchFamily="2" charset="-122"/>
                              <a:ea typeface="微软雅黑" panose="020B0503020204020204" pitchFamily="2" charset="-122"/>
                            </a:rPr>
                            <a:t>移动互联网专线</a:t>
                          </a:r>
                          <a:endParaRPr lang="zh-CN" altLang="en-US" sz="1100" b="1" dirty="0">
                            <a:solidFill>
                              <a:srgbClr val="FF0000"/>
                            </a:solidFill>
                            <a:latin typeface="微软雅黑" panose="020B0503020204020204" pitchFamily="2" charset="-122"/>
                            <a:ea typeface="微软雅黑" panose="020B0503020204020204" pitchFamily="2" charset="-122"/>
                          </a:endParaRPr>
                        </a:p>
                      </a:txBody>
                      <a:useSpRect/>
                    </a:txSp>
                  </a:sp>
                  <a:sp>
                    <a:nvSpPr>
                      <a:cNvPr id="101" name="文本框 100"/>
                      <a:cNvSpPr txBox="1"/>
                    </a:nvSpPr>
                    <a:spPr>
                      <a:xfrm>
                        <a:off x="9715176" y="3788255"/>
                        <a:ext cx="1485445" cy="306705"/>
                      </a:xfrm>
                      <a:prstGeom prst="rect">
                        <a:avLst/>
                      </a:prstGeom>
                      <a:solidFill>
                        <a:schemeClr val="tx2">
                          <a:lumMod val="60000"/>
                          <a:lumOff val="40000"/>
                        </a:schemeClr>
                      </a:solidFill>
                    </a:spPr>
                    <a:txSp>
                      <a:txBody>
                        <a:bodyPr wrap="square" rtlCol="0">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zh-CN" altLang="en-US" sz="1400" b="1" dirty="0" smtClean="0">
                              <a:latin typeface="微软雅黑" panose="020B0503020204020204" pitchFamily="2" charset="-122"/>
                              <a:ea typeface="微软雅黑" panose="020B0503020204020204" pitchFamily="2" charset="-122"/>
                            </a:rPr>
                            <a:t>研发中心</a:t>
                          </a:r>
                          <a:r>
                            <a:rPr lang="en-US" altLang="zh-CN" sz="1400" b="1" dirty="0" smtClean="0">
                              <a:latin typeface="微软雅黑" panose="020B0503020204020204" pitchFamily="2" charset="-122"/>
                              <a:ea typeface="微软雅黑" panose="020B0503020204020204" pitchFamily="2" charset="-122"/>
                            </a:rPr>
                            <a:t>2</a:t>
                          </a:r>
                          <a:r>
                            <a:rPr lang="zh-CN" altLang="en-US" sz="1400" b="1" dirty="0" smtClean="0">
                              <a:latin typeface="微软雅黑" panose="020B0503020204020204" pitchFamily="2" charset="-122"/>
                              <a:ea typeface="微软雅黑" panose="020B0503020204020204" pitchFamily="2" charset="-122"/>
                            </a:rPr>
                            <a:t>。。。</a:t>
                          </a:r>
                          <a:endParaRPr lang="zh-CN" altLang="en-US" sz="1400" b="1" dirty="0">
                            <a:latin typeface="微软雅黑" panose="020B0503020204020204" pitchFamily="2" charset="-122"/>
                            <a:ea typeface="微软雅黑" panose="020B0503020204020204" pitchFamily="2" charset="-122"/>
                          </a:endParaRPr>
                        </a:p>
                      </a:txBody>
                      <a:useSpRect/>
                    </a:txSp>
                  </a:sp>
                  <a:sp>
                    <a:nvSpPr>
                      <a:cNvPr id="38" name="文本框 18"/>
                      <a:cNvSpPr txBox="1"/>
                    </a:nvSpPr>
                    <a:spPr>
                      <a:xfrm>
                        <a:off x="6057900" y="3508375"/>
                        <a:ext cx="1310640" cy="260350"/>
                      </a:xfrm>
                      <a:prstGeom prst="rect">
                        <a:avLst/>
                      </a:prstGeom>
                      <a:noFill/>
                    </a:spPr>
                    <a:txSp>
                      <a:txBody>
                        <a:bodyPr wrap="square" rtlCol="0" anchor="t">
                          <a:spAutoFit/>
                        </a:bodyPr>
                        <a:lstStyle>
                          <a:defPPr>
                            <a:defRPr lang="zh-CN"/>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zh-CN" altLang="en-US" sz="1100" b="1" dirty="0" smtClean="0">
                              <a:latin typeface="微软雅黑" panose="020B0503020204020204" pitchFamily="2" charset="-122"/>
                              <a:ea typeface="微软雅黑" panose="020B0503020204020204" pitchFamily="2" charset="-122"/>
                              <a:sym typeface="+mn-ea"/>
                            </a:rPr>
                            <a:t>监控及会议系统</a:t>
                          </a:r>
                          <a:endParaRPr lang="en-US" altLang="x-none" sz="1100" b="1" dirty="0" smtClean="0">
                            <a:latin typeface="微软雅黑" panose="020B0503020204020204" pitchFamily="2" charset="-122"/>
                            <a:ea typeface="微软雅黑" panose="020B0503020204020204" pitchFamily="2" charset="-122"/>
                            <a:sym typeface="+mn-ea"/>
                          </a:endParaRPr>
                        </a:p>
                      </a:txBody>
                      <a:useSpRect/>
                    </a:txSp>
                  </a:sp>
                </lc:lockedCanvas>
              </a:graphicData>
            </a:graphic>
          </wp:inline>
        </w:drawing>
      </w: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widowControl/>
        <w:spacing w:before="100" w:beforeAutospacing="1" w:after="100" w:afterAutospacing="1" w:line="360" w:lineRule="auto"/>
        <w:jc w:val="left"/>
        <w:rPr>
          <w:rFonts w:ascii="宋体" w:hAnsi="宋体"/>
          <w:b/>
          <w:bCs/>
          <w:color w:val="000000"/>
          <w:sz w:val="28"/>
          <w:szCs w:val="24"/>
        </w:rPr>
      </w:pPr>
      <w:r>
        <w:rPr>
          <w:rFonts w:ascii="仿宋_GB2312" w:hAnsi="仿宋_GB2312" w:eastAsia="仿宋_GB2312" w:cs="Times New Roman"/>
          <w:sz w:val="32"/>
          <w:szCs w:val="32"/>
        </w:rPr>
        <w:t>附件</w:t>
      </w:r>
      <w:r>
        <w:rPr>
          <w:rFonts w:hint="eastAsia" w:ascii="仿宋_GB2312" w:hAnsi="仿宋_GB2312" w:eastAsia="仿宋_GB2312" w:cs="Times New Roman"/>
          <w:sz w:val="32"/>
          <w:szCs w:val="32"/>
        </w:rPr>
        <w:t>4：</w:t>
      </w:r>
    </w:p>
    <w:p>
      <w:pPr>
        <w:pStyle w:val="5"/>
        <w:ind w:left="0" w:leftChars="0" w:firstLine="0" w:firstLineChars="0"/>
        <w:jc w:val="center"/>
        <w:rPr>
          <w:rFonts w:hint="default" w:ascii="华文中宋" w:hAnsi="华文中宋" w:eastAsia="华文中宋" w:cs="华文中宋"/>
          <w:b/>
          <w:bCs/>
          <w:sz w:val="44"/>
          <w:szCs w:val="44"/>
          <w:lang w:eastAsia="zh-CN"/>
        </w:rPr>
      </w:pPr>
      <w:r>
        <w:rPr>
          <w:rFonts w:ascii="华文中宋" w:hAnsi="华文中宋" w:eastAsia="华文中宋" w:cs="华文中宋"/>
          <w:b/>
          <w:bCs/>
          <w:sz w:val="44"/>
          <w:szCs w:val="44"/>
          <w:lang w:eastAsia="zh-CN"/>
        </w:rPr>
        <w:t>投标承诺书</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rPr>
        <w:t>___</w:t>
      </w:r>
      <w:r>
        <w:rPr>
          <w:rFonts w:cs="宋体" w:asciiTheme="minorEastAsia" w:hAnsiTheme="minorEastAsia"/>
          <w:sz w:val="24"/>
          <w:szCs w:val="24"/>
          <w:lang w:val="zh-CN"/>
        </w:rPr>
        <w:t>年____月</w:t>
      </w:r>
      <w:r>
        <w:rPr>
          <w:rFonts w:hint="eastAsia" w:cs="宋体" w:asciiTheme="minorEastAsia" w:hAnsiTheme="minorEastAsia"/>
          <w:sz w:val="24"/>
          <w:szCs w:val="24"/>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szCs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22"/>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szCs w:val="24"/>
        </w:rPr>
        <w:br w:type="page"/>
      </w:r>
    </w:p>
    <w:p>
      <w:pPr>
        <w:pStyle w:val="5"/>
        <w:spacing w:before="100" w:after="100"/>
        <w:ind w:left="0" w:leftChars="0" w:firstLine="0" w:firstLineChars="0"/>
        <w:rPr>
          <w:rFonts w:hint="default" w:eastAsia="仿宋_GB2312"/>
          <w:sz w:val="32"/>
          <w:szCs w:val="32"/>
          <w:lang w:eastAsia="zh-CN"/>
        </w:rPr>
      </w:pPr>
      <w:r>
        <w:rPr>
          <w:rFonts w:eastAsia="仿宋_GB2312"/>
          <w:sz w:val="32"/>
          <w:szCs w:val="32"/>
          <w:lang w:eastAsia="zh-CN"/>
        </w:rPr>
        <w:t>附件5：</w:t>
      </w:r>
    </w:p>
    <w:p>
      <w:pPr>
        <w:pStyle w:val="5"/>
        <w:ind w:left="0" w:leftChars="0" w:firstLine="0" w:firstLineChars="0"/>
        <w:jc w:val="center"/>
        <w:rPr>
          <w:rFonts w:hint="default" w:ascii="华文中宋" w:hAnsi="华文中宋" w:eastAsia="华文中宋" w:cs="华文中宋"/>
          <w:b/>
          <w:bCs/>
          <w:sz w:val="44"/>
          <w:szCs w:val="44"/>
          <w:lang w:eastAsia="zh-CN"/>
        </w:rPr>
      </w:pPr>
      <w:r>
        <w:rPr>
          <w:rFonts w:ascii="华文中宋" w:hAnsi="华文中宋" w:eastAsia="华文中宋" w:cs="华文中宋"/>
          <w:b/>
          <w:bCs/>
          <w:sz w:val="44"/>
          <w:szCs w:val="44"/>
          <w:lang w:eastAsia="zh-CN"/>
        </w:rPr>
        <w:t xml:space="preserve"> 法定代表人（单位负责人）授权书</w:t>
      </w:r>
    </w:p>
    <w:p>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23"/>
        <w:ind w:firstLine="480" w:firstLineChars="200"/>
      </w:pPr>
      <w:r>
        <w:rPr>
          <w:rFonts w:hint="eastAsia" w:hAnsi="Times New Roman"/>
          <w:szCs w:val="21"/>
        </w:rPr>
        <w:t>法定代表人（单位负责人）授权代表联系电话（手机）：</w:t>
      </w:r>
    </w:p>
    <w:tbl>
      <w:tblPr>
        <w:tblStyle w:val="15"/>
        <w:tblW w:w="8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jc w:val="center"/>
        </w:trPr>
        <w:tc>
          <w:tcPr>
            <w:tcW w:w="4484" w:type="dxa"/>
            <w:vAlign w:val="center"/>
          </w:tcPr>
          <w:p>
            <w:pPr>
              <w:jc w:val="center"/>
              <w:rPr>
                <w:rFonts w:asciiTheme="minorEastAsia" w:hAnsiTheme="minorEastAsia"/>
                <w:sz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jc w:val="center"/>
        </w:trPr>
        <w:tc>
          <w:tcPr>
            <w:tcW w:w="4491" w:type="dxa"/>
            <w:gridSpan w:val="2"/>
            <w:vAlign w:val="center"/>
          </w:tcPr>
          <w:p>
            <w:pPr>
              <w:jc w:val="center"/>
              <w:rPr>
                <w:rFonts w:asciiTheme="minorEastAsia" w:hAnsiTheme="minorEastAsia"/>
                <w:sz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szCs w:val="24"/>
              </w:rPr>
              <w:t>法定代表人（单位负责人）授权代表身份证（反面）</w:t>
            </w:r>
          </w:p>
        </w:tc>
      </w:tr>
    </w:tbl>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p>
    <w:p>
      <w:pPr>
        <w:pStyle w:val="5"/>
        <w:spacing w:before="100" w:after="100"/>
        <w:ind w:left="0" w:leftChars="0" w:firstLine="0" w:firstLineChars="0"/>
        <w:rPr>
          <w:rFonts w:hint="default" w:eastAsia="仿宋_GB2312"/>
          <w:sz w:val="32"/>
          <w:szCs w:val="32"/>
          <w:lang w:eastAsia="zh-CN"/>
        </w:rPr>
      </w:pPr>
      <w:r>
        <w:rPr>
          <w:rFonts w:eastAsia="仿宋_GB2312"/>
          <w:sz w:val="32"/>
          <w:szCs w:val="32"/>
          <w:lang w:eastAsia="zh-CN"/>
        </w:rPr>
        <w:t>附件6：</w:t>
      </w:r>
    </w:p>
    <w:p>
      <w:pPr>
        <w:pStyle w:val="5"/>
        <w:ind w:left="0" w:leftChars="0" w:firstLine="0" w:firstLineChars="0"/>
        <w:jc w:val="center"/>
        <w:rPr>
          <w:rFonts w:hint="default" w:ascii="华文中宋" w:hAnsi="华文中宋" w:eastAsia="华文中宋" w:cs="华文中宋"/>
          <w:b/>
          <w:bCs/>
          <w:sz w:val="44"/>
          <w:szCs w:val="44"/>
          <w:lang w:eastAsia="zh-CN"/>
        </w:rPr>
      </w:pPr>
      <w:r>
        <w:rPr>
          <w:rFonts w:ascii="华文中宋" w:hAnsi="华文中宋" w:eastAsia="华文中宋" w:cs="华文中宋"/>
          <w:b/>
          <w:bCs/>
          <w:sz w:val="44"/>
          <w:szCs w:val="44"/>
          <w:lang w:eastAsia="zh-CN"/>
        </w:rPr>
        <w:t>廉洁自律承诺书</w:t>
      </w:r>
    </w:p>
    <w:p>
      <w:pPr>
        <w:pStyle w:val="5"/>
        <w:ind w:left="0" w:leftChars="0" w:firstLine="0" w:firstLineChars="0"/>
        <w:rPr>
          <w:rFonts w:hint="default" w:eastAsia="仿宋_GB2312"/>
          <w:sz w:val="32"/>
          <w:szCs w:val="32"/>
          <w:lang w:eastAsia="zh-CN"/>
        </w:rPr>
      </w:pPr>
      <w:r>
        <w:rPr>
          <w:rFonts w:eastAsia="仿宋_GB2312"/>
          <w:sz w:val="32"/>
          <w:szCs w:val="32"/>
          <w:lang w:eastAsia="zh-CN"/>
        </w:rPr>
        <w:t>致：许昌市投资集团有限公司</w:t>
      </w:r>
    </w:p>
    <w:p>
      <w:pPr>
        <w:pStyle w:val="5"/>
        <w:ind w:left="0" w:leftChars="0" w:firstLine="640"/>
        <w:rPr>
          <w:rFonts w:hint="default" w:eastAsia="仿宋_GB2312"/>
          <w:sz w:val="32"/>
          <w:szCs w:val="32"/>
          <w:lang w:eastAsia="zh-CN"/>
        </w:rPr>
      </w:pPr>
      <w:r>
        <w:rPr>
          <w:rFonts w:eastAsia="仿宋_GB2312"/>
          <w:sz w:val="32"/>
          <w:szCs w:val="32"/>
          <w:lang w:eastAsia="zh-CN"/>
        </w:rPr>
        <w:t>为了维护国家和集体利益，规范市场运作，保障正常、有序、合理、合法地开展经济活动，防止在经济活动中出现不正当交易等不廉洁行为的发生，我司郑重承诺不使用不正当手段妨碍、排挤相关投标单位或串通投标；不以任何方式向招标人员或评标人员赠送礼品、礼金或有价证券；不进行可能影响招标公平、公正的任何活动。</w:t>
      </w:r>
    </w:p>
    <w:p>
      <w:pPr>
        <w:pStyle w:val="5"/>
        <w:ind w:left="0" w:leftChars="0" w:firstLine="0" w:firstLineChars="0"/>
        <w:rPr>
          <w:rFonts w:hint="default" w:eastAsia="仿宋_GB2312"/>
          <w:sz w:val="32"/>
          <w:szCs w:val="32"/>
          <w:lang w:eastAsia="zh-CN"/>
        </w:rPr>
      </w:pPr>
      <w:r>
        <w:rPr>
          <w:rFonts w:eastAsia="仿宋_GB2312"/>
          <w:sz w:val="32"/>
          <w:szCs w:val="32"/>
          <w:lang w:eastAsia="zh-CN"/>
        </w:rPr>
        <w:t> </w:t>
      </w:r>
    </w:p>
    <w:p>
      <w:pPr>
        <w:pStyle w:val="5"/>
        <w:ind w:left="0" w:leftChars="0" w:firstLine="5440" w:firstLineChars="1700"/>
        <w:rPr>
          <w:rFonts w:hint="default" w:eastAsia="仿宋_GB2312"/>
          <w:sz w:val="32"/>
          <w:szCs w:val="32"/>
          <w:lang w:eastAsia="zh-CN"/>
        </w:rPr>
      </w:pPr>
      <w:r>
        <w:rPr>
          <w:rFonts w:eastAsia="仿宋_GB2312"/>
          <w:sz w:val="32"/>
          <w:szCs w:val="32"/>
          <w:lang w:eastAsia="zh-CN"/>
        </w:rPr>
        <w:t>单位名称（盖章）</w:t>
      </w:r>
    </w:p>
    <w:p>
      <w:pPr>
        <w:pStyle w:val="5"/>
        <w:ind w:left="420" w:firstLine="5120" w:firstLineChars="1600"/>
        <w:rPr>
          <w:rFonts w:hint="default" w:eastAsia="仿宋_GB2312"/>
          <w:sz w:val="32"/>
          <w:szCs w:val="32"/>
          <w:lang w:eastAsia="zh-CN"/>
        </w:rPr>
      </w:pPr>
      <w:r>
        <w:rPr>
          <w:rFonts w:eastAsia="仿宋_GB2312"/>
          <w:sz w:val="32"/>
          <w:szCs w:val="32"/>
          <w:lang w:eastAsia="zh-CN"/>
        </w:rPr>
        <w:t>日期:</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FiN2ZiMjMyN2JlNzE3OTNiYjFkODM5MWVjOTE4M2QifQ=="/>
  </w:docVars>
  <w:rsids>
    <w:rsidRoot w:val="00AF7F46"/>
    <w:rsid w:val="000114A4"/>
    <w:rsid w:val="00053026"/>
    <w:rsid w:val="000779E7"/>
    <w:rsid w:val="000C2EB9"/>
    <w:rsid w:val="000F2FA2"/>
    <w:rsid w:val="001031C7"/>
    <w:rsid w:val="00125D37"/>
    <w:rsid w:val="001342FF"/>
    <w:rsid w:val="00157419"/>
    <w:rsid w:val="001758AD"/>
    <w:rsid w:val="001936DC"/>
    <w:rsid w:val="00224CDB"/>
    <w:rsid w:val="00255E28"/>
    <w:rsid w:val="0035648D"/>
    <w:rsid w:val="0037242E"/>
    <w:rsid w:val="003874F9"/>
    <w:rsid w:val="003E3041"/>
    <w:rsid w:val="003E6F6F"/>
    <w:rsid w:val="00422A2E"/>
    <w:rsid w:val="0043133C"/>
    <w:rsid w:val="00481500"/>
    <w:rsid w:val="004A37A9"/>
    <w:rsid w:val="00555D69"/>
    <w:rsid w:val="00567411"/>
    <w:rsid w:val="0057300F"/>
    <w:rsid w:val="005A28CD"/>
    <w:rsid w:val="00641C71"/>
    <w:rsid w:val="00655A65"/>
    <w:rsid w:val="00704F15"/>
    <w:rsid w:val="007267B6"/>
    <w:rsid w:val="00791330"/>
    <w:rsid w:val="007D7105"/>
    <w:rsid w:val="00840829"/>
    <w:rsid w:val="008561CC"/>
    <w:rsid w:val="00866D83"/>
    <w:rsid w:val="00867769"/>
    <w:rsid w:val="0089226F"/>
    <w:rsid w:val="008940A2"/>
    <w:rsid w:val="008F2CC0"/>
    <w:rsid w:val="008F6243"/>
    <w:rsid w:val="00902E8F"/>
    <w:rsid w:val="009814A5"/>
    <w:rsid w:val="009D7ED5"/>
    <w:rsid w:val="00A01AD1"/>
    <w:rsid w:val="00A36990"/>
    <w:rsid w:val="00A42CBF"/>
    <w:rsid w:val="00A94FD6"/>
    <w:rsid w:val="00AD157D"/>
    <w:rsid w:val="00AE1C79"/>
    <w:rsid w:val="00AF7F46"/>
    <w:rsid w:val="00B04CD6"/>
    <w:rsid w:val="00B37A91"/>
    <w:rsid w:val="00B422DC"/>
    <w:rsid w:val="00B468BF"/>
    <w:rsid w:val="00B55C76"/>
    <w:rsid w:val="00BA5DF2"/>
    <w:rsid w:val="00C13B6E"/>
    <w:rsid w:val="00C15824"/>
    <w:rsid w:val="00C3506A"/>
    <w:rsid w:val="00C4430F"/>
    <w:rsid w:val="00C571DB"/>
    <w:rsid w:val="00C706C5"/>
    <w:rsid w:val="00CF6118"/>
    <w:rsid w:val="00D87E25"/>
    <w:rsid w:val="00D95608"/>
    <w:rsid w:val="00E21C31"/>
    <w:rsid w:val="00E334DB"/>
    <w:rsid w:val="00EC1BD2"/>
    <w:rsid w:val="00F25054"/>
    <w:rsid w:val="00F37C59"/>
    <w:rsid w:val="00F910F7"/>
    <w:rsid w:val="00FA5417"/>
    <w:rsid w:val="02783EBB"/>
    <w:rsid w:val="04B61533"/>
    <w:rsid w:val="05BC559D"/>
    <w:rsid w:val="0BBF6F13"/>
    <w:rsid w:val="23CD4342"/>
    <w:rsid w:val="26BB1DD1"/>
    <w:rsid w:val="28173C41"/>
    <w:rsid w:val="2CD66133"/>
    <w:rsid w:val="2CF12885"/>
    <w:rsid w:val="3C8E6994"/>
    <w:rsid w:val="400F60B0"/>
    <w:rsid w:val="4DA915B4"/>
    <w:rsid w:val="5E700D8A"/>
    <w:rsid w:val="63E83947"/>
    <w:rsid w:val="766A623B"/>
    <w:rsid w:val="768B625F"/>
    <w:rsid w:val="77903653"/>
    <w:rsid w:val="79A827BC"/>
    <w:rsid w:val="79C35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8">
    <w:name w:val="heading 2"/>
    <w:basedOn w:val="1"/>
    <w:next w:val="1"/>
    <w:link w:val="1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9">
    <w:name w:val="heading 4"/>
    <w:basedOn w:val="1"/>
    <w:next w:val="1"/>
    <w:autoRedefine/>
    <w:unhideWhenUsed/>
    <w:qFormat/>
    <w:uiPriority w:val="9"/>
    <w:pPr>
      <w:keepNext/>
      <w:keepLines/>
      <w:spacing w:line="372" w:lineRule="auto"/>
      <w:outlineLvl w:val="3"/>
    </w:pPr>
    <w:rPr>
      <w:rFonts w:ascii="Arial" w:hAnsi="Arial" w:eastAsia="黑体"/>
      <w:b/>
      <w:sz w:val="28"/>
    </w:rPr>
  </w:style>
  <w:style w:type="paragraph" w:styleId="10">
    <w:name w:val="heading 5"/>
    <w:basedOn w:val="1"/>
    <w:next w:val="1"/>
    <w:unhideWhenUsed/>
    <w:qFormat/>
    <w:uiPriority w:val="9"/>
    <w:pPr>
      <w:keepNext/>
      <w:keepLines/>
      <w:spacing w:line="372" w:lineRule="auto"/>
      <w:outlineLvl w:val="4"/>
    </w:pPr>
    <w:rPr>
      <w:b/>
      <w:sz w:val="28"/>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line="360" w:lineRule="auto"/>
      <w:ind w:firstLine="200" w:firstLineChars="200"/>
    </w:pPr>
  </w:style>
  <w:style w:type="paragraph" w:styleId="3">
    <w:name w:val="Body Text"/>
    <w:basedOn w:val="1"/>
    <w:next w:val="4"/>
    <w:autoRedefine/>
    <w:qFormat/>
    <w:uiPriority w:val="1"/>
    <w:pPr>
      <w:ind w:left="730"/>
      <w:jc w:val="left"/>
    </w:pPr>
    <w:rPr>
      <w:rFonts w:ascii="宋体" w:hAnsi="宋体" w:cs="Times New Roman"/>
      <w:kern w:val="0"/>
      <w:sz w:val="23"/>
      <w:szCs w:val="23"/>
      <w:lang w:eastAsia="en-US"/>
    </w:r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1">
    <w:name w:val="Plain Text"/>
    <w:basedOn w:val="1"/>
    <w:qFormat/>
    <w:uiPriority w:val="0"/>
    <w:rPr>
      <w:rFonts w:eastAsia="宋体"/>
      <w:sz w:val="24"/>
    </w:rPr>
  </w:style>
  <w:style w:type="paragraph" w:styleId="12">
    <w:name w:val="Balloon Text"/>
    <w:basedOn w:val="1"/>
    <w:link w:val="24"/>
    <w:semiHidden/>
    <w:unhideWhenUsed/>
    <w:uiPriority w:val="99"/>
    <w:rPr>
      <w:sz w:val="18"/>
      <w:szCs w:val="18"/>
    </w:rPr>
  </w:style>
  <w:style w:type="paragraph" w:styleId="13">
    <w:name w:val="footer"/>
    <w:basedOn w:val="1"/>
    <w:link w:val="18"/>
    <w:autoRedefine/>
    <w:unhideWhenUsed/>
    <w:qFormat/>
    <w:uiPriority w:val="99"/>
    <w:pPr>
      <w:tabs>
        <w:tab w:val="center" w:pos="4153"/>
        <w:tab w:val="right" w:pos="8306"/>
      </w:tabs>
      <w:snapToGrid w:val="0"/>
      <w:jc w:val="left"/>
    </w:pPr>
    <w:rPr>
      <w:sz w:val="18"/>
      <w:szCs w:val="18"/>
    </w:rPr>
  </w:style>
  <w:style w:type="paragraph" w:styleId="14">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7">
    <w:name w:val="页眉 Char"/>
    <w:basedOn w:val="16"/>
    <w:link w:val="14"/>
    <w:qFormat/>
    <w:uiPriority w:val="99"/>
    <w:rPr>
      <w:sz w:val="18"/>
      <w:szCs w:val="18"/>
    </w:rPr>
  </w:style>
  <w:style w:type="character" w:customStyle="1" w:styleId="18">
    <w:name w:val="页脚 Char"/>
    <w:basedOn w:val="16"/>
    <w:link w:val="13"/>
    <w:qFormat/>
    <w:uiPriority w:val="99"/>
    <w:rPr>
      <w:sz w:val="18"/>
      <w:szCs w:val="18"/>
    </w:rPr>
  </w:style>
  <w:style w:type="character" w:customStyle="1" w:styleId="19">
    <w:name w:val="标题 2 Char"/>
    <w:basedOn w:val="16"/>
    <w:link w:val="8"/>
    <w:qFormat/>
    <w:uiPriority w:val="0"/>
    <w:rPr>
      <w:rFonts w:asciiTheme="majorHAnsi" w:hAnsiTheme="majorHAnsi" w:eastAsiaTheme="majorEastAsia" w:cstheme="majorBidi"/>
      <w:b/>
      <w:bCs/>
      <w:kern w:val="2"/>
      <w:sz w:val="32"/>
      <w:szCs w:val="32"/>
    </w:rPr>
  </w:style>
  <w:style w:type="paragraph" w:customStyle="1" w:styleId="20">
    <w:name w:val="正文文本缩进1"/>
    <w:basedOn w:val="1"/>
    <w:qFormat/>
    <w:uiPriority w:val="0"/>
    <w:pPr>
      <w:spacing w:line="360" w:lineRule="auto"/>
      <w:ind w:firstLine="480" w:firstLineChars="200"/>
    </w:pPr>
    <w:rPr>
      <w:rFonts w:ascii="宋体" w:hAnsi="Calibri" w:eastAsia="宋体" w:cs="Times New Roman"/>
      <w:sz w:val="24"/>
      <w:szCs w:val="24"/>
    </w:rPr>
  </w:style>
  <w:style w:type="paragraph" w:customStyle="1" w:styleId="21">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22">
    <w:name w:val="日期1"/>
    <w:basedOn w:val="1"/>
    <w:next w:val="1"/>
    <w:qFormat/>
    <w:uiPriority w:val="0"/>
    <w:rPr>
      <w:rFonts w:ascii="Calibri" w:hAnsi="Calibri" w:eastAsia="宋体" w:cs="Times New Roman"/>
      <w:sz w:val="24"/>
      <w:szCs w:val="24"/>
    </w:rPr>
  </w:style>
  <w:style w:type="paragraph" w:customStyle="1" w:styleId="2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4">
    <w:name w:val="批注框文本 Char"/>
    <w:basedOn w:val="16"/>
    <w:link w:val="12"/>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10</Pages>
  <Words>624</Words>
  <Characters>3558</Characters>
  <Lines>29</Lines>
  <Paragraphs>8</Paragraphs>
  <TotalTime>127</TotalTime>
  <ScaleCrop>false</ScaleCrop>
  <LinksUpToDate>false</LinksUpToDate>
  <CharactersWithSpaces>4174</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2019-12-26T00:17:00Z</dcterms:created>
  <dc:creator>微软用户</dc:creator>
  <cp:lastModifiedBy>ha_kwa</cp:lastModifiedBy>
  <cp:lastPrinted>2024-03-06T01:38:00Z</cp:lastPrinted>
  <dcterms:modified xsi:type="dcterms:W3CDTF">2024-03-08T07:03:32Z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CB5A52963A7C4A2DB73FBE487F32DEA1</vt:lpwstr>
  </property>
</Properties>
</file>